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1120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779D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779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79D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779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79DB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A779D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779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79D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779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79D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779D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779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79D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779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79D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779D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779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79D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779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79DB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A779D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779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79D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779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79DB">
              <w:rPr>
                <w:rFonts w:ascii="Titillium Web" w:hAnsi="Titillium Web"/>
                <w:szCs w:val="24"/>
              </w:rPr>
              <w:t>1,7 m</w:t>
            </w:r>
          </w:p>
        </w:tc>
      </w:tr>
      <w:tr w:rsidR="0086297F" w:rsidRPr="00A779D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779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79D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779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79DB">
              <w:rPr>
                <w:rFonts w:ascii="Titillium Web" w:hAnsi="Titillium Web"/>
                <w:szCs w:val="24"/>
              </w:rPr>
              <w:t>2,42x1,78</w:t>
            </w:r>
          </w:p>
        </w:tc>
      </w:tr>
      <w:tr w:rsidR="0086297F" w:rsidRPr="00A779D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779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79D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779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79DB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A779D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779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79D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779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79D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779D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779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79D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2F641AC" w14:textId="77777777" w:rsidR="005E0121" w:rsidRPr="00B53DD8" w:rsidRDefault="005E0121" w:rsidP="005E012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Tomba 1120 a umazione</w:t>
            </w:r>
          </w:p>
          <w:p w14:paraId="6C425F31" w14:textId="77777777" w:rsidR="005E0121" w:rsidRPr="00B53DD8" w:rsidRDefault="005E0121" w:rsidP="005E012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con cassa di grossi tavoloni di quercia e tronchi alle pareti -</w:t>
            </w:r>
          </w:p>
          <w:p w14:paraId="494ABBFC" w14:textId="77777777" w:rsidR="005E0121" w:rsidRPr="00B53DD8" w:rsidRDefault="005E0121" w:rsidP="005E012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A m 10,80 a lev. della cardinale... a m 12,40 a sud del decumano (23 giugno corr.) è il centro di una tomba a umazione con grande cassa di quercia costituita da grossi tavoloni sia nel coperchio e ne fondo e con grossi favi alle pareti.</w:t>
            </w:r>
          </w:p>
          <w:p w14:paraId="531A7CA6" w14:textId="77777777" w:rsidR="005E0121" w:rsidRPr="00B53DD8" w:rsidRDefault="005E0121" w:rsidP="005E012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Il coperchio della cassa è marcito ed è caduto entro alla cassa sopra lo scheletro.</w:t>
            </w:r>
          </w:p>
          <w:p w14:paraId="3A2CDECC" w14:textId="77777777" w:rsidR="005E0121" w:rsidRPr="00B53DD8" w:rsidRDefault="005E0121" w:rsidP="005E012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Lo scheletro è orientato da nord - ovest a sud - est, gradi 320 circa (i travi lunghi delle pareti sono similmente orientati)</w:t>
            </w:r>
          </w:p>
          <w:p w14:paraId="666C0090" w14:textId="77777777" w:rsidR="005E0121" w:rsidRPr="00B53DD8" w:rsidRDefault="005E0121" w:rsidP="005E012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Presso lo scheletro non si rinvenne alcun oggetto.</w:t>
            </w:r>
          </w:p>
          <w:p w14:paraId="585E86F4" w14:textId="77777777" w:rsidR="005E0121" w:rsidRPr="00B53DD8" w:rsidRDefault="005E0121" w:rsidP="005E012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I travi lunghi erano m 2,42 e i travi corti m 1,78</w:t>
            </w:r>
          </w:p>
          <w:p w14:paraId="3D6C1509" w14:textId="77777777" w:rsidR="005E0121" w:rsidRPr="00B53DD8" w:rsidRDefault="005E0121" w:rsidP="005E012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I frammenti di tavoloni costituenti il coperchio della cassa, distavano m 0,30 dal tavolato del fondo. Il fondo della cassa poggiava a m 1,70.</w:t>
            </w:r>
          </w:p>
          <w:p w14:paraId="5D1AEFC2" w14:textId="03995EEF" w:rsidR="0086297F" w:rsidRPr="005E0121" w:rsidRDefault="005E0121" w:rsidP="002665C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Nulla</w:t>
            </w:r>
          </w:p>
        </w:tc>
      </w:tr>
      <w:tr w:rsidR="0086297F" w:rsidRPr="00A779D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779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79D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779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79DB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A779D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779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79D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779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79D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779D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779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79D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779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79D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779D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779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79D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779D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79D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779D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779D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79D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7D31A62" w14:textId="77777777" w:rsidR="005D1BB5" w:rsidRPr="00A779DB" w:rsidRDefault="0081381D" w:rsidP="00A779DB">
            <w:pPr>
              <w:jc w:val="center"/>
              <w:rPr>
                <w:rFonts w:ascii="Titillium Web" w:hAnsi="Titillium Web"/>
                <w:szCs w:val="24"/>
              </w:rPr>
            </w:pPr>
            <w:r w:rsidRPr="00A779DB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A779DB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5D1BB5"/>
    <w:rsid w:val="005E0121"/>
    <w:rsid w:val="006162A4"/>
    <w:rsid w:val="006346F7"/>
    <w:rsid w:val="006D6EFB"/>
    <w:rsid w:val="007145BC"/>
    <w:rsid w:val="0086297F"/>
    <w:rsid w:val="009E4922"/>
    <w:rsid w:val="00A74088"/>
    <w:rsid w:val="00A779DB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2026-05-13T21:05:00Z</dcterms:modified>
</cp:coreProperties>
</file>