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62B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062B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62B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062B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062B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062B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62B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62B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62B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68255A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Tomba 1123 a cremazione –</w:t>
            </w:r>
          </w:p>
          <w:p w14:paraId="7B6DAC2F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A m 17,60 a lev. della cardinale... a m 14,50 a sud del decumano (23 giugno corr.), a m 1,00 di profondità poggiava:</w:t>
            </w:r>
          </w:p>
          <w:p w14:paraId="397373A5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1 dolietto piuttosto piccolo, di argilla color cenere, completamente marcito</w:t>
            </w:r>
          </w:p>
          <w:p w14:paraId="1D28626D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Entro al dolio erano poche ossicine combuste</w:t>
            </w:r>
          </w:p>
          <w:p w14:paraId="3154AF23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18CFACC1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1 ciotola (scodella) a vern. nera con impressioni a stampo nell’interno: è in due frammenti.</w:t>
            </w:r>
          </w:p>
          <w:p w14:paraId="72233630" w14:textId="77777777" w:rsidR="00B81AC1" w:rsidRPr="001062B5" w:rsidRDefault="00A2134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62B5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1062B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062B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62B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62B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62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062B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62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62B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E2B39E" w14:textId="77777777" w:rsidR="00B81AC1" w:rsidRPr="001062B5" w:rsidRDefault="00A2134C" w:rsidP="001062B5">
            <w:pPr>
              <w:jc w:val="center"/>
              <w:rPr>
                <w:rFonts w:ascii="Titillium Web" w:hAnsi="Titillium Web"/>
                <w:szCs w:val="24"/>
              </w:rPr>
            </w:pPr>
            <w:r w:rsidRPr="001062B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062B5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1062B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062B5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62B5"/>
    <w:rsid w:val="001C17CC"/>
    <w:rsid w:val="002977D7"/>
    <w:rsid w:val="00472AF4"/>
    <w:rsid w:val="004E07A9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81AC1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2026-05-13T21:02:00Z</dcterms:modified>
</cp:coreProperties>
</file>