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1125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7464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746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64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746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640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67464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746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64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746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64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7464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746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64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746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64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7464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746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64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746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64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7464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746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64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746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640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67464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746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64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746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64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7464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746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64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746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64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7464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746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64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746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640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67464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746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64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C29A651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Tomba 1125 – a cremazione –</w:t>
            </w:r>
          </w:p>
          <w:p w14:paraId="74DE5F91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A m. 9,50 a ponente del ciglio del canalino B, a m. 132 dal Donna Bianca, si rinvenne:</w:t>
            </w:r>
          </w:p>
          <w:p w14:paraId="12053E55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1 dolio di forma panciuta, di argilla cenere scuro, completamente marcito.</w:t>
            </w:r>
          </w:p>
          <w:p w14:paraId="6E34F1B5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Era coperto sulla bocca da</w:t>
            </w:r>
          </w:p>
          <w:p w14:paraId="00299AC1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1 grande ciotola coperchio, di spessore rilevante di argilla giallastra e ben cotta, con largo</w:t>
            </w:r>
          </w:p>
          <w:p w14:paraId="5722841A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orlo piatto, grezza, intera.</w:t>
            </w:r>
          </w:p>
          <w:p w14:paraId="6232B6CE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Entro al dolio erano le ossa combuste e con le ossa:</w:t>
            </w:r>
          </w:p>
          <w:p w14:paraId="4E9BF180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1 fusaiola di forma conica, di argilla cenerognola, con foro passante.</w:t>
            </w:r>
          </w:p>
          <w:p w14:paraId="4F8C8E38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1 frammentino di bronzo laminato (non è possibile giudicare a che oggetto appartenesse).</w:t>
            </w:r>
          </w:p>
          <w:p w14:paraId="5E38E890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1 lekythos piccolina (alta 0,13) mancante del beccuccio e del piede, a figure nere grafite, con traccia di colore rosso sui visi.</w:t>
            </w:r>
          </w:p>
          <w:p w14:paraId="483EBD92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Sulla scena vi sono quattro figure sedute.</w:t>
            </w:r>
          </w:p>
          <w:p w14:paraId="29FB5B0A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1 altra lekythos più piccola, mancante del beccuccio, a vernice nera, con palmette a raggera sulla spalla - alta 0,10.</w:t>
            </w:r>
          </w:p>
          <w:p w14:paraId="2AE04FAC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Il dolio poggiava a m. 1,40 di profondità ed era immerso nella sabbia</w:t>
            </w:r>
          </w:p>
          <w:p w14:paraId="7A5D466F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A m. 0,20 sopra la ciotola che copriva il dolio, era un ciottolo fluviale deposto sopra uno strato di alluvione giallastra dello spessore di m. 0,20 circa -</w:t>
            </w:r>
          </w:p>
          <w:p w14:paraId="6763FF11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lastRenderedPageBreak/>
              <w:t>Certamente il ciottolo stele era visibile in antico sulla superficie e perciò i 0,65 di terreno palustre che hanno poi ricoperto il ciottolo, si sono poi formati dopo la deposizione della tomba.</w:t>
            </w:r>
          </w:p>
          <w:p w14:paraId="023D1B00" w14:textId="77777777" w:rsidR="00CF548F" w:rsidRPr="00674640" w:rsidRDefault="000249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640">
              <w:rPr>
                <w:rFonts w:ascii="Titillium Web" w:hAnsi="Titillium Web"/>
                <w:i/>
                <w:iCs/>
                <w:szCs w:val="24"/>
              </w:rPr>
              <w:t>Conclusione: il dolio fu sepolto a m. 0,75 dal piano di allora.</w:t>
            </w:r>
          </w:p>
        </w:tc>
      </w:tr>
      <w:tr w:rsidR="0086297F" w:rsidRPr="0067464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746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64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746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640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67464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746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64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746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640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67464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746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64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746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74640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67464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746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64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746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64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7464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746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64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D419115" w14:textId="77777777" w:rsidR="00CF548F" w:rsidRPr="00674640" w:rsidRDefault="00024968" w:rsidP="00674640">
            <w:pPr>
              <w:jc w:val="center"/>
              <w:rPr>
                <w:rFonts w:ascii="Titillium Web" w:hAnsi="Titillium Web"/>
                <w:szCs w:val="24"/>
              </w:rPr>
            </w:pPr>
            <w:r w:rsidRPr="00674640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674640">
              <w:rPr>
                <w:rFonts w:ascii="Titillium Web" w:eastAsia="Titillium" w:hAnsi="Titillium Web" w:cs="Titillium"/>
                <w:szCs w:val="24"/>
              </w:rPr>
              <w:t xml:space="preserve"> 1940, p. 328; </w:t>
            </w:r>
            <w:r w:rsidRPr="00674640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674640">
              <w:rPr>
                <w:rFonts w:ascii="Titillium Web" w:eastAsia="Titillium" w:hAnsi="Titillium Web" w:cs="Titillium"/>
                <w:szCs w:val="24"/>
              </w:rPr>
              <w:t xml:space="preserve"> 2021, pp. 305-306; </w:t>
            </w:r>
            <w:r w:rsidRPr="0067464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7464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74640"/>
    <w:rsid w:val="006D6EFB"/>
    <w:rsid w:val="007145BC"/>
    <w:rsid w:val="0086297F"/>
    <w:rsid w:val="009E4922"/>
    <w:rsid w:val="00AB321D"/>
    <w:rsid w:val="00B165C4"/>
    <w:rsid w:val="00C21EE0"/>
    <w:rsid w:val="00CF548F"/>
    <w:rsid w:val="00D900AB"/>
    <w:rsid w:val="00D936E8"/>
    <w:rsid w:val="00E11414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2026-05-13T21:01:00Z</dcterms:modified>
</cp:coreProperties>
</file>