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A097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4A097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A097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A097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4A097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1,38 m</w:t>
            </w:r>
          </w:p>
        </w:tc>
      </w:tr>
      <w:tr w:rsidR="0086297F" w:rsidRPr="004A097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2,35x1,65</w:t>
            </w:r>
          </w:p>
        </w:tc>
      </w:tr>
      <w:tr w:rsidR="0086297F" w:rsidRPr="004A097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A097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097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770E9BF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Tomba 1129 - a umazione</w:t>
            </w:r>
          </w:p>
          <w:p w14:paraId="01C415C3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devastata, a cassa.</w:t>
            </w:r>
          </w:p>
          <w:p w14:paraId="5A83975B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A m 12,80 dalla cardinale…... a m 21,50 a sud del decumano…... (23 giugno corr.) è il centro di una tomba a umazione, con pareti di travi, sconvolta e devastata.</w:t>
            </w:r>
          </w:p>
          <w:p w14:paraId="05525CC6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La tomba è orientata da nord - ovest a sud - est (gradi 300 circa) ed è costruita di piccoli travi completamente marciti. I due travi lunghi erano distanti fra loro m 1,65 circa e le più corti m 2,35 circa. Il piano della tomba è a m 1,38.</w:t>
            </w:r>
          </w:p>
          <w:p w14:paraId="43BDD2D3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La tomba era costruita a cassa, poiché si rivennero tracce del coperchio di legno e del fondo.</w:t>
            </w:r>
          </w:p>
          <w:p w14:paraId="644DB9A6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Entro la cassa, tutto il materiale fittile e lo scheletro pure erano sconvolti e i vasetti in molti frammenti.</w:t>
            </w:r>
          </w:p>
          <w:p w14:paraId="14D7FCB5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Fra le ossa umane sconvolte si rinvennero frammenti vari dei segmenti fittili:</w:t>
            </w:r>
          </w:p>
          <w:p w14:paraId="3D0678B5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- frammenti di piccola kelebe a figure rosse, di disegno mediocre e strapazzato. Non è possibile capire quale fosse la scena disegnata: irrestaurabile</w:t>
            </w:r>
          </w:p>
          <w:p w14:paraId="3C518023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- 1 piattello ad alto piede, a vern. nera, con orlo rivoltato. Nell’orlo sono dipinte in rosso risparmiato, foglie lanceolate e nel medaglione una figura femminile che cammina verso des., e un volatile che precede la figura femminile. Il disegno è strapazzato (restaurabile).</w:t>
            </w:r>
          </w:p>
          <w:p w14:paraId="1DAD8407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1 tazzetta a vern. nera, con piede a listello e impressioni a stampiglia nell’intorno: è in frammenti ma restaurabile.</w:t>
            </w:r>
          </w:p>
          <w:p w14:paraId="24AEB4B2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lastRenderedPageBreak/>
              <w:t>Pochi frammenti di altri vasetti e piattini, insignificanti.</w:t>
            </w:r>
          </w:p>
          <w:p w14:paraId="5D56D453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Lo scheletro e i fittili dovevano posare sopra una strato di calce della quale se ne rinvennero abbondanti tracce.</w:t>
            </w:r>
          </w:p>
          <w:p w14:paraId="671C4ED0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La devastazione di questa tomba deve essere ascritta a tempi assai remoti, poiché sembra la tomba sia posta quasi nel centro del dosso sabbioso, pure gli avanzi fittili e dello scheletro erano avvolti in una argilla fine, compatta attaccaticcia e caratteristica dei fondi palustri ove si è formato a lungo andare e ove il limo il più fine e sottile ha avuto tempo di scolare in maniera lenta e continua.</w:t>
            </w:r>
          </w:p>
          <w:p w14:paraId="44087986" w14:textId="77777777" w:rsidR="008033BE" w:rsidRPr="004A097A" w:rsidRDefault="005C12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097A">
              <w:rPr>
                <w:rFonts w:ascii="Titillium Web" w:hAnsi="Titillium Web"/>
                <w:i/>
                <w:iCs/>
                <w:szCs w:val="24"/>
              </w:rPr>
              <w:t>Lo strato di tale limo depositatosi sulla tomba, lentamente, aveva uno spessore di m 0,60.</w:t>
            </w:r>
          </w:p>
        </w:tc>
      </w:tr>
      <w:tr w:rsidR="0086297F" w:rsidRPr="004A097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A097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097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097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A09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4A097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A09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097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2ADC1B" w14:textId="77777777" w:rsidR="008033BE" w:rsidRPr="004A097A" w:rsidRDefault="005C1258" w:rsidP="004A097A">
            <w:pPr>
              <w:jc w:val="center"/>
              <w:rPr>
                <w:rFonts w:ascii="Titillium Web" w:hAnsi="Titillium Web"/>
                <w:szCs w:val="24"/>
              </w:rPr>
            </w:pPr>
            <w:r w:rsidRPr="004A097A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4A097A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A097A"/>
    <w:rsid w:val="00551AF8"/>
    <w:rsid w:val="005B5AFF"/>
    <w:rsid w:val="006162A4"/>
    <w:rsid w:val="006346F7"/>
    <w:rsid w:val="006D6EFB"/>
    <w:rsid w:val="007145BC"/>
    <w:rsid w:val="007F5876"/>
    <w:rsid w:val="008033BE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2026-05-13T20:59:00Z</dcterms:modified>
</cp:coreProperties>
</file>