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113</w:t>
      </w:r>
    </w:p>
    <w:tbl>
      <w:tblPr>
        <w:tblStyle w:val="Grigliatabella"/>
        <w:tblW w:w="5000" w:type="pct"/>
        <w:jc w:val="center"/>
        <w:tblLook w:val="04A0" w:firstRow="1" w:lastRow="0" w:firstColumn="1" w:lastColumn="0" w:noHBand="0" w:noVBand="1"/>
      </w:tblPr>
      <w:tblGrid>
        <w:gridCol w:w="2990"/>
        <w:gridCol w:w="6070"/>
      </w:tblGrid>
      <w:tr w:rsidR="001B5504" w:rsidRPr="00996838" w14:paraId="7E897B51" w14:textId="77777777" w:rsidTr="001B5504">
        <w:trPr>
          <w:jc w:val="center"/>
        </w:trPr>
        <w:tc>
          <w:tcPr>
            <w:tcW w:w="1650" w:type="pct"/>
            <w:vAlign w:val="center"/>
          </w:tcPr>
          <w:p w14:paraId="42CC7784"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Anno di rinvenimento</w:t>
            </w:r>
          </w:p>
        </w:tc>
        <w:tc>
          <w:tcPr>
            <w:tcW w:w="3350" w:type="pct"/>
            <w:vAlign w:val="center"/>
          </w:tcPr>
          <w:p w14:paraId="3911E4F6" w14:textId="6BFD1686" w:rsidR="001B5504" w:rsidRPr="00996838" w:rsidRDefault="001B5504" w:rsidP="00BF212E">
            <w:pPr>
              <w:jc w:val="center"/>
              <w:rPr>
                <w:rFonts w:ascii="Titillium Web" w:hAnsi="Titillium Web"/>
                <w:szCs w:val="24"/>
              </w:rPr>
            </w:pPr>
            <w:r w:rsidRPr="00996838">
              <w:rPr>
                <w:rFonts w:ascii="Titillium Web" w:hAnsi="Titillium Web"/>
                <w:szCs w:val="24"/>
              </w:rPr>
              <w:t>1923</w:t>
            </w:r>
          </w:p>
        </w:tc>
      </w:tr>
      <w:tr w:rsidR="001B5504" w:rsidRPr="00996838" w14:paraId="4120B077" w14:textId="77777777" w:rsidTr="001B5504">
        <w:trPr>
          <w:jc w:val="center"/>
        </w:trPr>
        <w:tc>
          <w:tcPr>
            <w:tcW w:w="1650" w:type="pct"/>
            <w:vAlign w:val="center"/>
          </w:tcPr>
          <w:p w14:paraId="7B4CDD57"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Stato di conservazione della tomba</w:t>
            </w:r>
          </w:p>
        </w:tc>
        <w:tc>
          <w:tcPr>
            <w:tcW w:w="3350" w:type="pct"/>
            <w:vAlign w:val="center"/>
          </w:tcPr>
          <w:p w14:paraId="4ED449D1" w14:textId="67560E4F" w:rsidR="001B5504" w:rsidRPr="00996838" w:rsidRDefault="001B5504" w:rsidP="00BF212E">
            <w:pPr>
              <w:jc w:val="center"/>
              <w:rPr>
                <w:rFonts w:ascii="Titillium Web" w:hAnsi="Titillium Web"/>
                <w:szCs w:val="24"/>
              </w:rPr>
            </w:pPr>
            <w:r w:rsidRPr="00996838">
              <w:rPr>
                <w:rFonts w:ascii="Titillium Web" w:hAnsi="Titillium Web"/>
                <w:szCs w:val="24"/>
              </w:rPr>
              <w:t>Intatta</w:t>
            </w:r>
          </w:p>
        </w:tc>
      </w:tr>
      <w:tr w:rsidR="001B5504" w:rsidRPr="00996838" w14:paraId="7A448E9D" w14:textId="77777777" w:rsidTr="001B5504">
        <w:trPr>
          <w:jc w:val="center"/>
        </w:trPr>
        <w:tc>
          <w:tcPr>
            <w:tcW w:w="1650" w:type="pct"/>
            <w:vAlign w:val="center"/>
          </w:tcPr>
          <w:p w14:paraId="1E1EA165"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Rito di seppellimento</w:t>
            </w:r>
          </w:p>
        </w:tc>
        <w:tc>
          <w:tcPr>
            <w:tcW w:w="3350" w:type="pct"/>
            <w:vAlign w:val="center"/>
          </w:tcPr>
          <w:p w14:paraId="18226334" w14:textId="6B6FE1CF" w:rsidR="001B5504" w:rsidRPr="00996838" w:rsidRDefault="001B5504" w:rsidP="00BF212E">
            <w:pPr>
              <w:jc w:val="center"/>
              <w:rPr>
                <w:rFonts w:ascii="Titillium Web" w:hAnsi="Titillium Web"/>
                <w:szCs w:val="24"/>
              </w:rPr>
            </w:pPr>
            <w:r w:rsidRPr="00996838">
              <w:rPr>
                <w:rFonts w:ascii="Titillium Web" w:hAnsi="Titillium Web"/>
                <w:szCs w:val="24"/>
              </w:rPr>
              <w:t>Cremazione</w:t>
            </w:r>
          </w:p>
        </w:tc>
      </w:tr>
      <w:tr w:rsidR="001B5504" w:rsidRPr="00996838" w14:paraId="31276AA4" w14:textId="77777777" w:rsidTr="001B5504">
        <w:trPr>
          <w:jc w:val="center"/>
        </w:trPr>
        <w:tc>
          <w:tcPr>
            <w:tcW w:w="1650" w:type="pct"/>
            <w:vAlign w:val="center"/>
          </w:tcPr>
          <w:p w14:paraId="33201D3D"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Struttura tomba</w:t>
            </w:r>
          </w:p>
        </w:tc>
        <w:tc>
          <w:tcPr>
            <w:tcW w:w="3350" w:type="pct"/>
            <w:vAlign w:val="center"/>
          </w:tcPr>
          <w:p w14:paraId="720E7EE7" w14:textId="3E36BEBB" w:rsidR="001B5504" w:rsidRPr="00996838" w:rsidRDefault="001B5504" w:rsidP="00BF212E">
            <w:pPr>
              <w:jc w:val="center"/>
              <w:rPr>
                <w:rFonts w:ascii="Titillium Web" w:hAnsi="Titillium Web"/>
                <w:szCs w:val="24"/>
              </w:rPr>
            </w:pPr>
            <w:r w:rsidRPr="00996838">
              <w:rPr>
                <w:rFonts w:ascii="Titillium Web" w:hAnsi="Titillium Web"/>
                <w:szCs w:val="24"/>
              </w:rPr>
              <w:t>Pozzetto semplice</w:t>
            </w:r>
          </w:p>
        </w:tc>
      </w:tr>
      <w:tr w:rsidR="001B5504" w:rsidRPr="00996838" w14:paraId="07337DA2" w14:textId="77777777" w:rsidTr="001B5504">
        <w:trPr>
          <w:jc w:val="center"/>
        </w:trPr>
        <w:tc>
          <w:tcPr>
            <w:tcW w:w="1650" w:type="pct"/>
            <w:vAlign w:val="center"/>
          </w:tcPr>
          <w:p w14:paraId="5032DFD5"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Profondità dal piano di campagna</w:t>
            </w:r>
          </w:p>
        </w:tc>
        <w:tc>
          <w:tcPr>
            <w:tcW w:w="3350" w:type="pct"/>
            <w:vAlign w:val="center"/>
          </w:tcPr>
          <w:p w14:paraId="4AC1C871" w14:textId="553FE193" w:rsidR="001B5504" w:rsidRPr="00996838" w:rsidRDefault="001B5504" w:rsidP="00BF212E">
            <w:pPr>
              <w:jc w:val="center"/>
              <w:rPr>
                <w:rFonts w:ascii="Titillium Web" w:hAnsi="Titillium Web"/>
                <w:szCs w:val="24"/>
              </w:rPr>
            </w:pPr>
            <w:r w:rsidRPr="00996838">
              <w:rPr>
                <w:rFonts w:ascii="Titillium Web" w:hAnsi="Titillium Web"/>
                <w:szCs w:val="24"/>
              </w:rPr>
              <w:t>1,0 m</w:t>
            </w:r>
          </w:p>
        </w:tc>
      </w:tr>
      <w:tr w:rsidR="001B5504" w:rsidRPr="00996838" w14:paraId="16F9D287" w14:textId="77777777" w:rsidTr="001B5504">
        <w:trPr>
          <w:jc w:val="center"/>
        </w:trPr>
        <w:tc>
          <w:tcPr>
            <w:tcW w:w="1650" w:type="pct"/>
            <w:vAlign w:val="center"/>
          </w:tcPr>
          <w:p w14:paraId="5D675683"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Dimensioni della sepoltura</w:t>
            </w:r>
          </w:p>
        </w:tc>
        <w:tc>
          <w:tcPr>
            <w:tcW w:w="3350" w:type="pct"/>
            <w:vAlign w:val="center"/>
          </w:tcPr>
          <w:p w14:paraId="606ED54D" w14:textId="0EBDB5D9" w:rsidR="001B5504" w:rsidRPr="00996838" w:rsidRDefault="001B5504" w:rsidP="00BF212E">
            <w:pPr>
              <w:jc w:val="center"/>
              <w:rPr>
                <w:rFonts w:ascii="Titillium Web" w:hAnsi="Titillium Web"/>
                <w:szCs w:val="24"/>
              </w:rPr>
            </w:pPr>
            <w:r w:rsidRPr="00996838">
              <w:rPr>
                <w:rFonts w:ascii="Titillium Web" w:hAnsi="Titillium Web"/>
                <w:szCs w:val="24"/>
              </w:rPr>
              <w:t>Dimensioni non registrate</w:t>
            </w:r>
          </w:p>
        </w:tc>
      </w:tr>
      <w:tr w:rsidR="001B5504" w:rsidRPr="00996838" w14:paraId="3DCDE8C5" w14:textId="77777777" w:rsidTr="001B5504">
        <w:trPr>
          <w:jc w:val="center"/>
        </w:trPr>
        <w:tc>
          <w:tcPr>
            <w:tcW w:w="1650" w:type="pct"/>
            <w:vAlign w:val="center"/>
          </w:tcPr>
          <w:p w14:paraId="090E3992"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Orientamento dello scheletro</w:t>
            </w:r>
          </w:p>
        </w:tc>
        <w:tc>
          <w:tcPr>
            <w:tcW w:w="3350" w:type="pct"/>
            <w:vAlign w:val="center"/>
          </w:tcPr>
          <w:p w14:paraId="01C3562F" w14:textId="031F382A" w:rsidR="001B5504" w:rsidRPr="00996838" w:rsidRDefault="00A905F4" w:rsidP="00BF212E">
            <w:pPr>
              <w:jc w:val="center"/>
              <w:rPr>
                <w:rFonts w:ascii="Titillium Web" w:hAnsi="Titillium Web"/>
                <w:szCs w:val="24"/>
              </w:rPr>
            </w:pPr>
            <w:r w:rsidRPr="00996838">
              <w:rPr>
                <w:rFonts w:ascii="Titillium Web" w:hAnsi="Titillium Web"/>
                <w:szCs w:val="24"/>
              </w:rPr>
              <w:t>/</w:t>
            </w:r>
          </w:p>
        </w:tc>
      </w:tr>
      <w:tr w:rsidR="001B5504" w:rsidRPr="00996838" w14:paraId="5978151F" w14:textId="77777777" w:rsidTr="001B5504">
        <w:trPr>
          <w:jc w:val="center"/>
        </w:trPr>
        <w:tc>
          <w:tcPr>
            <w:tcW w:w="1650" w:type="pct"/>
            <w:vAlign w:val="center"/>
          </w:tcPr>
          <w:p w14:paraId="1F67A10B"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Segnacolo</w:t>
            </w:r>
          </w:p>
        </w:tc>
        <w:tc>
          <w:tcPr>
            <w:tcW w:w="3350" w:type="pct"/>
            <w:vAlign w:val="center"/>
          </w:tcPr>
          <w:p w14:paraId="6599D472" w14:textId="5FBA5EF9" w:rsidR="001B5504" w:rsidRPr="00996838" w:rsidRDefault="00A905F4" w:rsidP="00BF212E">
            <w:pPr>
              <w:jc w:val="center"/>
              <w:rPr>
                <w:rFonts w:ascii="Titillium Web" w:hAnsi="Titillium Web"/>
                <w:szCs w:val="24"/>
              </w:rPr>
            </w:pPr>
            <w:r w:rsidRPr="00996838">
              <w:rPr>
                <w:rFonts w:ascii="Titillium Web" w:hAnsi="Titillium Web"/>
                <w:szCs w:val="24"/>
              </w:rPr>
              <w:t>/</w:t>
            </w:r>
          </w:p>
        </w:tc>
      </w:tr>
      <w:tr w:rsidR="001B5504" w:rsidRPr="00996838" w14:paraId="28E05F99" w14:textId="77777777" w:rsidTr="001B5504">
        <w:trPr>
          <w:jc w:val="center"/>
        </w:trPr>
        <w:tc>
          <w:tcPr>
            <w:tcW w:w="1650" w:type="pct"/>
            <w:vAlign w:val="center"/>
          </w:tcPr>
          <w:p w14:paraId="6ECF1BD4" w14:textId="77777777" w:rsidR="001B5504" w:rsidRPr="00996838" w:rsidRDefault="001B5504" w:rsidP="001F2833">
            <w:pPr>
              <w:spacing w:before="120" w:after="120"/>
              <w:jc w:val="center"/>
              <w:rPr>
                <w:rFonts w:ascii="Titillium Web" w:hAnsi="Titillium Web"/>
                <w:smallCaps/>
                <w:szCs w:val="24"/>
              </w:rPr>
            </w:pPr>
            <w:r w:rsidRPr="00996838">
              <w:rPr>
                <w:rFonts w:ascii="Titillium Web" w:hAnsi="Titillium Web"/>
                <w:smallCaps/>
                <w:szCs w:val="24"/>
              </w:rPr>
              <w:t>Giornale di scavo (GdS)</w:t>
            </w:r>
          </w:p>
        </w:tc>
        <w:tc>
          <w:tcPr>
            <w:tcW w:w="3350" w:type="pct"/>
            <w:vAlign w:val="center"/>
          </w:tcPr>
          <w:p w14:paraId="6F75F24D" w14:textId="77777777" w:rsidR="00314375" w:rsidRPr="00996838" w:rsidRDefault="00314375" w:rsidP="00314375">
            <w:pPr>
              <w:rPr>
                <w:rFonts w:ascii="Titillium Web" w:hAnsi="Titillium Web" w:cs="Times New Roman"/>
                <w:i/>
                <w:iCs/>
                <w:szCs w:val="24"/>
              </w:rPr>
            </w:pPr>
            <w:r w:rsidRPr="00996838">
              <w:rPr>
                <w:rFonts w:ascii="Titillium Web" w:hAnsi="Titillium Web" w:cs="Times New Roman"/>
                <w:i/>
                <w:iCs/>
                <w:szCs w:val="24"/>
              </w:rPr>
              <w:t xml:space="preserve">A m. 1,50 a Sud dalla precedente, alla profondità di m.1, poggia un altro dolio, di terra rossa e meglio cotta dei precedenti. </w:t>
            </w:r>
            <w:r w:rsidRPr="00996838">
              <w:rPr>
                <w:rFonts w:ascii="Titillium Web" w:hAnsi="Titillium Web" w:cs="Times New Roman"/>
                <w:i/>
                <w:iCs/>
                <w:szCs w:val="24"/>
                <w:u w:val="single"/>
              </w:rPr>
              <w:t>Il dolio ha</w:t>
            </w:r>
            <w:r w:rsidRPr="00996838">
              <w:rPr>
                <w:rFonts w:ascii="Titillium Web" w:hAnsi="Titillium Web" w:cs="Times New Roman"/>
                <w:i/>
                <w:iCs/>
                <w:szCs w:val="24"/>
              </w:rPr>
              <w:t xml:space="preserve"> un doppio giro di cordoni incavati sotto l’orlo, ed è intero. Alto m. 0,51</w:t>
            </w:r>
          </w:p>
          <w:p w14:paraId="1ADD6F28" w14:textId="77777777" w:rsidR="00314375" w:rsidRPr="00996838" w:rsidRDefault="00314375" w:rsidP="00314375">
            <w:pPr>
              <w:rPr>
                <w:rFonts w:ascii="Titillium Web" w:hAnsi="Titillium Web" w:cs="Times New Roman"/>
                <w:i/>
                <w:iCs/>
                <w:szCs w:val="24"/>
              </w:rPr>
            </w:pPr>
            <w:r w:rsidRPr="00996838">
              <w:rPr>
                <w:rFonts w:ascii="Titillium Web" w:hAnsi="Titillium Web" w:cs="Times New Roman"/>
                <w:i/>
                <w:iCs/>
                <w:szCs w:val="24"/>
              </w:rPr>
              <w:t>Fra le ceneri si rinvenne:</w:t>
            </w:r>
          </w:p>
          <w:p w14:paraId="3BFE1CAF" w14:textId="77777777" w:rsidR="00314375" w:rsidRPr="00996838" w:rsidRDefault="00314375" w:rsidP="00314375">
            <w:pPr>
              <w:rPr>
                <w:rFonts w:ascii="Titillium Web" w:hAnsi="Titillium Web" w:cs="Times New Roman"/>
                <w:i/>
                <w:iCs/>
                <w:szCs w:val="24"/>
              </w:rPr>
            </w:pPr>
            <w:r w:rsidRPr="00996838">
              <w:rPr>
                <w:rFonts w:ascii="Titillium Web" w:hAnsi="Titillium Web" w:cs="Times New Roman"/>
                <w:i/>
                <w:iCs/>
                <w:szCs w:val="24"/>
                <w:u w:val="single"/>
              </w:rPr>
              <w:t xml:space="preserve">una ciotola di forma </w:t>
            </w:r>
            <w:proofErr w:type="spellStart"/>
            <w:r w:rsidRPr="00996838">
              <w:rPr>
                <w:rFonts w:ascii="Titillium Web" w:hAnsi="Titillium Web" w:cs="Times New Roman"/>
                <w:i/>
                <w:iCs/>
                <w:szCs w:val="24"/>
                <w:u w:val="single"/>
              </w:rPr>
              <w:t>semiferica</w:t>
            </w:r>
            <w:proofErr w:type="spellEnd"/>
            <w:r w:rsidRPr="00996838">
              <w:rPr>
                <w:rFonts w:ascii="Titillium Web" w:hAnsi="Titillium Web" w:cs="Times New Roman"/>
                <w:i/>
                <w:iCs/>
                <w:szCs w:val="24"/>
              </w:rPr>
              <w:t>, mancante del fondo, di terra color cenerognola e d’impasto locale, che doveva essere posta a modo di coperchio sulla bocca del dolio entro al quale era poi caduta per la pressione del terreno</w:t>
            </w:r>
          </w:p>
          <w:p w14:paraId="1E9F4689" w14:textId="77777777" w:rsidR="00314375" w:rsidRPr="00996838" w:rsidRDefault="00314375" w:rsidP="00314375">
            <w:pPr>
              <w:rPr>
                <w:rFonts w:ascii="Titillium Web" w:hAnsi="Titillium Web" w:cs="Times New Roman"/>
                <w:i/>
                <w:iCs/>
                <w:szCs w:val="24"/>
              </w:rPr>
            </w:pPr>
            <w:r w:rsidRPr="00996838">
              <w:rPr>
                <w:rFonts w:ascii="Titillium Web" w:hAnsi="Titillium Web" w:cs="Times New Roman"/>
                <w:i/>
                <w:iCs/>
                <w:szCs w:val="24"/>
                <w:u w:val="single"/>
              </w:rPr>
              <w:t xml:space="preserve">una scodellina </w:t>
            </w:r>
            <w:r w:rsidRPr="00996838">
              <w:rPr>
                <w:rFonts w:ascii="Titillium Web" w:hAnsi="Titillium Web" w:cs="Times New Roman"/>
                <w:i/>
                <w:iCs/>
                <w:szCs w:val="24"/>
              </w:rPr>
              <w:t>di terra grezza color cenere</w:t>
            </w:r>
          </w:p>
          <w:p w14:paraId="5F61AAE4" w14:textId="77777777" w:rsidR="00314375" w:rsidRPr="00996838" w:rsidRDefault="00314375" w:rsidP="00314375">
            <w:pPr>
              <w:rPr>
                <w:rFonts w:ascii="Titillium Web" w:hAnsi="Titillium Web" w:cs="Times New Roman"/>
                <w:i/>
                <w:iCs/>
                <w:szCs w:val="24"/>
                <w:u w:val="single"/>
              </w:rPr>
            </w:pPr>
            <w:r w:rsidRPr="00996838">
              <w:rPr>
                <w:rFonts w:ascii="Titillium Web" w:hAnsi="Titillium Web" w:cs="Times New Roman"/>
                <w:i/>
                <w:iCs/>
                <w:szCs w:val="24"/>
                <w:u w:val="single"/>
              </w:rPr>
              <w:t xml:space="preserve">un </w:t>
            </w:r>
            <w:proofErr w:type="gramStart"/>
            <w:r w:rsidRPr="00996838">
              <w:rPr>
                <w:rFonts w:ascii="Titillium Web" w:hAnsi="Titillium Web" w:cs="Times New Roman"/>
                <w:i/>
                <w:iCs/>
                <w:szCs w:val="24"/>
                <w:u w:val="single"/>
              </w:rPr>
              <w:t>piattello  “</w:t>
            </w:r>
            <w:proofErr w:type="gramEnd"/>
            <w:r w:rsidRPr="00996838">
              <w:rPr>
                <w:rFonts w:ascii="Titillium Web" w:hAnsi="Titillium Web" w:cs="Times New Roman"/>
                <w:i/>
                <w:iCs/>
                <w:szCs w:val="24"/>
                <w:u w:val="single"/>
              </w:rPr>
              <w:t xml:space="preserve"> </w:t>
            </w:r>
            <w:proofErr w:type="gramStart"/>
            <w:r w:rsidRPr="00996838">
              <w:rPr>
                <w:rFonts w:ascii="Titillium Web" w:hAnsi="Titillium Web" w:cs="Times New Roman"/>
                <w:i/>
                <w:iCs/>
                <w:szCs w:val="24"/>
                <w:u w:val="single"/>
              </w:rPr>
              <w:t>“ “</w:t>
            </w:r>
            <w:proofErr w:type="gramEnd"/>
            <w:r w:rsidRPr="00996838">
              <w:rPr>
                <w:rFonts w:ascii="Titillium Web" w:hAnsi="Titillium Web" w:cs="Times New Roman"/>
                <w:i/>
                <w:iCs/>
                <w:szCs w:val="24"/>
                <w:u w:val="single"/>
              </w:rPr>
              <w:t xml:space="preserve"> “</w:t>
            </w:r>
          </w:p>
          <w:p w14:paraId="1A6B7E7E" w14:textId="40E5E4B7" w:rsidR="001B5504" w:rsidRPr="00996838" w:rsidRDefault="00314375" w:rsidP="00314375">
            <w:pPr>
              <w:jc w:val="left"/>
              <w:rPr>
                <w:rFonts w:ascii="Titillium Web" w:hAnsi="Titillium Web"/>
                <w:szCs w:val="24"/>
              </w:rPr>
            </w:pPr>
            <w:r w:rsidRPr="00996838">
              <w:rPr>
                <w:rFonts w:ascii="Titillium Web" w:hAnsi="Titillium Web" w:cs="Times New Roman"/>
                <w:i/>
                <w:iCs/>
                <w:szCs w:val="24"/>
                <w:u w:val="single"/>
              </w:rPr>
              <w:t xml:space="preserve">una conchiglia </w:t>
            </w:r>
            <w:r w:rsidRPr="00996838">
              <w:rPr>
                <w:rFonts w:ascii="Titillium Web" w:hAnsi="Titillium Web" w:cs="Times New Roman"/>
                <w:i/>
                <w:iCs/>
                <w:szCs w:val="24"/>
              </w:rPr>
              <w:t>che era dentro la scodellina</w:t>
            </w:r>
          </w:p>
        </w:tc>
      </w:tr>
      <w:tr w:rsidR="001B5504" w:rsidRPr="00996838" w14:paraId="4CA65959" w14:textId="77777777" w:rsidTr="001B5504">
        <w:trPr>
          <w:jc w:val="center"/>
        </w:trPr>
        <w:tc>
          <w:tcPr>
            <w:tcW w:w="1650" w:type="pct"/>
            <w:vAlign w:val="center"/>
          </w:tcPr>
          <w:p w14:paraId="42C0306C"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Corredo</w:t>
            </w:r>
          </w:p>
        </w:tc>
        <w:tc>
          <w:tcPr>
            <w:tcW w:w="3350" w:type="pct"/>
            <w:vAlign w:val="center"/>
          </w:tcPr>
          <w:p w14:paraId="17B0F77C" w14:textId="1349DC52" w:rsidR="00EF7488" w:rsidRPr="00996838" w:rsidRDefault="00EF7488" w:rsidP="001836F7">
            <w:pPr>
              <w:jc w:val="center"/>
              <w:rPr>
                <w:rFonts w:ascii="Titillium Web" w:hAnsi="Titillium Web" w:cs="Times New Roman"/>
                <w:szCs w:val="24"/>
              </w:rPr>
            </w:pPr>
            <w:r w:rsidRPr="00996838">
              <w:rPr>
                <w:rFonts w:ascii="Titillium Web" w:hAnsi="Titillium Web" w:cs="Times New Roman"/>
                <w:szCs w:val="24"/>
              </w:rPr>
              <w:t>I resti combusti del defunto erano conservati in un’olla di produzione locale in ceramica grezza (n. 1). Il cinerario era verosimilmente coperto da una mortaio in ceramica grigia (n. 2), rinvenuto frammentario tra le ceneri a causa della pressione del terreno. All’interno dell’olla, era stato deposto un piccolo corredo, costituito da un piatto ed una coppa in ceramica grigia (nn. 3-4); quest’ultima conteneva una conchiglia, oggi perduta (n. 5*).</w:t>
            </w:r>
          </w:p>
          <w:p w14:paraId="3E45883F" w14:textId="58B82A76" w:rsidR="001274AB" w:rsidRPr="00996838" w:rsidRDefault="00A65CC0" w:rsidP="001836F7">
            <w:pPr>
              <w:jc w:val="center"/>
              <w:rPr>
                <w:rFonts w:ascii="Titillium Web" w:hAnsi="Titillium Web"/>
                <w:szCs w:val="24"/>
              </w:rPr>
            </w:pPr>
            <w:r w:rsidRPr="00996838">
              <w:rPr>
                <w:rFonts w:ascii="Titillium Web" w:hAnsi="Titillium Web"/>
                <w:szCs w:val="24"/>
              </w:rPr>
              <w:t xml:space="preserve">1. </w:t>
            </w:r>
            <w:r w:rsidR="001274AB" w:rsidRPr="00996838">
              <w:rPr>
                <w:rFonts w:ascii="Titillium Web" w:hAnsi="Titillium Web"/>
                <w:szCs w:val="24"/>
              </w:rPr>
              <w:t>Olla etrusco-padana (IG 135; ceramica grezza)</w:t>
            </w:r>
          </w:p>
          <w:p w14:paraId="0C88B653" w14:textId="34B8571B" w:rsidR="001274AB" w:rsidRPr="00996838" w:rsidRDefault="00A65CC0" w:rsidP="001836F7">
            <w:pPr>
              <w:jc w:val="center"/>
              <w:rPr>
                <w:rFonts w:ascii="Titillium Web" w:hAnsi="Titillium Web"/>
                <w:szCs w:val="24"/>
              </w:rPr>
            </w:pPr>
            <w:r w:rsidRPr="00996838">
              <w:rPr>
                <w:rFonts w:ascii="Titillium Web" w:hAnsi="Titillium Web"/>
                <w:szCs w:val="24"/>
              </w:rPr>
              <w:t xml:space="preserve">2. </w:t>
            </w:r>
            <w:r w:rsidR="001274AB" w:rsidRPr="00996838">
              <w:rPr>
                <w:rFonts w:ascii="Titillium Web" w:hAnsi="Titillium Web"/>
                <w:szCs w:val="24"/>
              </w:rPr>
              <w:t>Mortaio etrusco-padano (IG 136; ceramica grigia)</w:t>
            </w:r>
          </w:p>
          <w:p w14:paraId="73C75508" w14:textId="677375B3" w:rsidR="001274AB" w:rsidRPr="00996838" w:rsidRDefault="00A65CC0" w:rsidP="001836F7">
            <w:pPr>
              <w:jc w:val="center"/>
              <w:rPr>
                <w:rFonts w:ascii="Titillium Web" w:hAnsi="Titillium Web"/>
                <w:szCs w:val="24"/>
              </w:rPr>
            </w:pPr>
            <w:r w:rsidRPr="00996838">
              <w:rPr>
                <w:rFonts w:ascii="Titillium Web" w:hAnsi="Titillium Web"/>
                <w:szCs w:val="24"/>
              </w:rPr>
              <w:t xml:space="preserve">3. </w:t>
            </w:r>
            <w:r w:rsidR="001274AB" w:rsidRPr="00996838">
              <w:rPr>
                <w:rFonts w:ascii="Titillium Web" w:hAnsi="Titillium Web"/>
                <w:szCs w:val="24"/>
              </w:rPr>
              <w:t>Coppa emisferica etrusco-padana (IG 20655; ceramica grigia)</w:t>
            </w:r>
          </w:p>
          <w:p w14:paraId="7B7B8457" w14:textId="57B06BA4" w:rsidR="001B5504" w:rsidRPr="00996838" w:rsidRDefault="00A65CC0" w:rsidP="001836F7">
            <w:pPr>
              <w:jc w:val="center"/>
              <w:rPr>
                <w:rFonts w:ascii="Titillium Web" w:hAnsi="Titillium Web"/>
                <w:szCs w:val="24"/>
              </w:rPr>
            </w:pPr>
            <w:r w:rsidRPr="00996838">
              <w:rPr>
                <w:rFonts w:ascii="Titillium Web" w:hAnsi="Titillium Web"/>
                <w:szCs w:val="24"/>
              </w:rPr>
              <w:t xml:space="preserve">4. </w:t>
            </w:r>
            <w:r w:rsidR="001274AB" w:rsidRPr="00996838">
              <w:rPr>
                <w:rFonts w:ascii="Titillium Web" w:hAnsi="Titillium Web"/>
                <w:szCs w:val="24"/>
              </w:rPr>
              <w:t>Piatto etrusco-padano (IG 137; ceramica grigia)</w:t>
            </w:r>
          </w:p>
          <w:p w14:paraId="5EE32F9C" w14:textId="4B0C6270" w:rsidR="001274AB" w:rsidRPr="00996838" w:rsidRDefault="001274AB" w:rsidP="001836F7">
            <w:pPr>
              <w:jc w:val="center"/>
              <w:rPr>
                <w:rFonts w:ascii="Titillium Web" w:hAnsi="Titillium Web"/>
                <w:szCs w:val="24"/>
              </w:rPr>
            </w:pPr>
            <w:r w:rsidRPr="00996838">
              <w:rPr>
                <w:rFonts w:ascii="Titillium Web" w:hAnsi="Titillium Web"/>
                <w:szCs w:val="24"/>
              </w:rPr>
              <w:lastRenderedPageBreak/>
              <w:t>5*. Conchiglia</w:t>
            </w:r>
          </w:p>
        </w:tc>
      </w:tr>
      <w:tr w:rsidR="001B5504" w:rsidRPr="00996838" w14:paraId="520D9732" w14:textId="77777777" w:rsidTr="001B5504">
        <w:trPr>
          <w:jc w:val="center"/>
        </w:trPr>
        <w:tc>
          <w:tcPr>
            <w:tcW w:w="1650" w:type="pct"/>
            <w:vAlign w:val="center"/>
          </w:tcPr>
          <w:p w14:paraId="24BE97D5"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lastRenderedPageBreak/>
              <w:t>Posizione del corredo</w:t>
            </w:r>
          </w:p>
        </w:tc>
        <w:tc>
          <w:tcPr>
            <w:tcW w:w="3350" w:type="pct"/>
            <w:vAlign w:val="center"/>
          </w:tcPr>
          <w:p w14:paraId="3ED37A74" w14:textId="4F6A64A9" w:rsidR="001B5504" w:rsidRPr="00996838" w:rsidRDefault="001836F7" w:rsidP="00BF212E">
            <w:pPr>
              <w:jc w:val="center"/>
              <w:rPr>
                <w:rFonts w:ascii="Titillium Web" w:hAnsi="Titillium Web"/>
                <w:szCs w:val="24"/>
              </w:rPr>
            </w:pPr>
            <w:r w:rsidRPr="00996838">
              <w:rPr>
                <w:rFonts w:ascii="Titillium Web" w:hAnsi="Titillium Web"/>
                <w:szCs w:val="24"/>
              </w:rPr>
              <w:t>Dentro il cinerario</w:t>
            </w:r>
          </w:p>
        </w:tc>
      </w:tr>
      <w:tr w:rsidR="001B5504" w:rsidRPr="00996838" w14:paraId="05ACB002" w14:textId="77777777" w:rsidTr="001B5504">
        <w:trPr>
          <w:jc w:val="center"/>
        </w:trPr>
        <w:tc>
          <w:tcPr>
            <w:tcW w:w="1650" w:type="pct"/>
            <w:vAlign w:val="center"/>
          </w:tcPr>
          <w:p w14:paraId="6E6E37F2"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Stato di conservazione e affidabilità del corredo</w:t>
            </w:r>
          </w:p>
        </w:tc>
        <w:tc>
          <w:tcPr>
            <w:tcW w:w="3350" w:type="pct"/>
            <w:vAlign w:val="center"/>
          </w:tcPr>
          <w:p w14:paraId="66E8A271" w14:textId="67517117" w:rsidR="001B5504" w:rsidRPr="00996838" w:rsidRDefault="00996838" w:rsidP="00BF212E">
            <w:pPr>
              <w:jc w:val="center"/>
              <w:rPr>
                <w:rFonts w:ascii="Titillium Web" w:hAnsi="Titillium Web"/>
                <w:szCs w:val="24"/>
              </w:rPr>
            </w:pPr>
            <w:r w:rsidRPr="00996838">
              <w:rPr>
                <w:rFonts w:ascii="Titillium Web" w:hAnsi="Titillium Web"/>
                <w:szCs w:val="24"/>
              </w:rPr>
              <w:t>Al corredo è stata attribuita erroneamente una probabile valva di fornace, esclusa poiché non menzionata nel GdS.</w:t>
            </w:r>
          </w:p>
        </w:tc>
      </w:tr>
      <w:tr w:rsidR="001B5504" w:rsidRPr="00996838" w14:paraId="6E424069" w14:textId="77777777" w:rsidTr="001B5504">
        <w:trPr>
          <w:jc w:val="center"/>
        </w:trPr>
        <w:tc>
          <w:tcPr>
            <w:tcW w:w="1650" w:type="pct"/>
            <w:vAlign w:val="center"/>
          </w:tcPr>
          <w:p w14:paraId="4CE8DFDE"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Genere (legato all’analisi del corredo)</w:t>
            </w:r>
          </w:p>
        </w:tc>
        <w:tc>
          <w:tcPr>
            <w:tcW w:w="3350" w:type="pct"/>
            <w:vAlign w:val="center"/>
          </w:tcPr>
          <w:p w14:paraId="04E55D8B" w14:textId="15D5D226" w:rsidR="001B5504" w:rsidRPr="00996838" w:rsidRDefault="001B5504" w:rsidP="00BF212E">
            <w:pPr>
              <w:jc w:val="center"/>
              <w:rPr>
                <w:rFonts w:ascii="Titillium Web" w:hAnsi="Titillium Web"/>
                <w:szCs w:val="24"/>
              </w:rPr>
            </w:pPr>
            <w:r w:rsidRPr="00996838">
              <w:rPr>
                <w:rFonts w:ascii="Titillium Web" w:hAnsi="Titillium Web"/>
                <w:szCs w:val="24"/>
              </w:rPr>
              <w:t>Non determinabile</w:t>
            </w:r>
          </w:p>
        </w:tc>
      </w:tr>
      <w:tr w:rsidR="001B5504" w:rsidRPr="00996838" w14:paraId="7C1BF645" w14:textId="77777777" w:rsidTr="001B5504">
        <w:trPr>
          <w:jc w:val="center"/>
        </w:trPr>
        <w:tc>
          <w:tcPr>
            <w:tcW w:w="1650" w:type="pct"/>
            <w:vAlign w:val="center"/>
          </w:tcPr>
          <w:p w14:paraId="7EADEEB5"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Sesso (legato alle analisi antropologiche)</w:t>
            </w:r>
          </w:p>
        </w:tc>
        <w:tc>
          <w:tcPr>
            <w:tcW w:w="3350" w:type="pct"/>
            <w:vAlign w:val="center"/>
          </w:tcPr>
          <w:p w14:paraId="5D17FB99" w14:textId="46EBB367" w:rsidR="001B5504" w:rsidRPr="00996838" w:rsidRDefault="001B5504" w:rsidP="00BF212E">
            <w:pPr>
              <w:jc w:val="center"/>
              <w:rPr>
                <w:rFonts w:ascii="Titillium Web" w:hAnsi="Titillium Web"/>
                <w:szCs w:val="24"/>
              </w:rPr>
            </w:pPr>
            <w:r w:rsidRPr="00996838">
              <w:rPr>
                <w:rFonts w:ascii="Titillium Web" w:hAnsi="Titillium Web"/>
                <w:szCs w:val="24"/>
              </w:rPr>
              <w:t>Non determinabile</w:t>
            </w:r>
          </w:p>
        </w:tc>
      </w:tr>
      <w:tr w:rsidR="001B5504" w:rsidRPr="00996838" w14:paraId="498C4222" w14:textId="77777777" w:rsidTr="001B5504">
        <w:trPr>
          <w:jc w:val="center"/>
        </w:trPr>
        <w:tc>
          <w:tcPr>
            <w:tcW w:w="1650" w:type="pct"/>
            <w:vAlign w:val="center"/>
          </w:tcPr>
          <w:p w14:paraId="57C39F2A"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Classi di età</w:t>
            </w:r>
          </w:p>
        </w:tc>
        <w:tc>
          <w:tcPr>
            <w:tcW w:w="3350" w:type="pct"/>
            <w:vAlign w:val="center"/>
          </w:tcPr>
          <w:p w14:paraId="3FA8CB4E" w14:textId="5B4E47B7" w:rsidR="001B5504" w:rsidRPr="00996838" w:rsidRDefault="001B5504" w:rsidP="00BF212E">
            <w:pPr>
              <w:jc w:val="center"/>
              <w:rPr>
                <w:rFonts w:ascii="Titillium Web" w:hAnsi="Titillium Web"/>
                <w:szCs w:val="24"/>
              </w:rPr>
            </w:pPr>
            <w:r w:rsidRPr="00996838">
              <w:rPr>
                <w:rFonts w:ascii="Titillium Web" w:hAnsi="Titillium Web"/>
                <w:szCs w:val="24"/>
              </w:rPr>
              <w:t>Non determinabile</w:t>
            </w:r>
          </w:p>
        </w:tc>
      </w:tr>
      <w:tr w:rsidR="001B5504" w:rsidRPr="00996838" w14:paraId="698056B7" w14:textId="77777777" w:rsidTr="001B5504">
        <w:trPr>
          <w:jc w:val="center"/>
        </w:trPr>
        <w:tc>
          <w:tcPr>
            <w:tcW w:w="1650" w:type="pct"/>
            <w:vAlign w:val="center"/>
          </w:tcPr>
          <w:p w14:paraId="225E12C1"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Cronologia</w:t>
            </w:r>
          </w:p>
        </w:tc>
        <w:tc>
          <w:tcPr>
            <w:tcW w:w="3350" w:type="pct"/>
            <w:vAlign w:val="center"/>
          </w:tcPr>
          <w:p w14:paraId="440AB2F6" w14:textId="65221464" w:rsidR="001B5504" w:rsidRPr="00996838" w:rsidRDefault="001B5504" w:rsidP="00BF212E">
            <w:pPr>
              <w:jc w:val="center"/>
              <w:rPr>
                <w:rFonts w:ascii="Titillium Web" w:hAnsi="Titillium Web"/>
                <w:szCs w:val="24"/>
              </w:rPr>
            </w:pPr>
            <w:r w:rsidRPr="00996838">
              <w:rPr>
                <w:rFonts w:ascii="Titillium Web" w:hAnsi="Titillium Web"/>
                <w:szCs w:val="24"/>
              </w:rPr>
              <w:t>Non determinabile</w:t>
            </w:r>
          </w:p>
        </w:tc>
      </w:tr>
      <w:tr w:rsidR="001B5504" w:rsidRPr="00996838" w14:paraId="3105DEE4" w14:textId="77777777" w:rsidTr="001B5504">
        <w:trPr>
          <w:jc w:val="center"/>
        </w:trPr>
        <w:tc>
          <w:tcPr>
            <w:tcW w:w="1650" w:type="pct"/>
            <w:vAlign w:val="center"/>
          </w:tcPr>
          <w:p w14:paraId="2DF8B210"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Bibliografia (della tomba)</w:t>
            </w:r>
          </w:p>
        </w:tc>
        <w:tc>
          <w:tcPr>
            <w:tcW w:w="3350" w:type="pct"/>
            <w:vAlign w:val="center"/>
          </w:tcPr>
          <w:p w14:paraId="38D3D101" w14:textId="5D407890" w:rsidR="001B5504" w:rsidRPr="00996838" w:rsidRDefault="00F96CD0" w:rsidP="00BF212E">
            <w:pPr>
              <w:jc w:val="center"/>
              <w:rPr>
                <w:rFonts w:ascii="Titillium Web" w:hAnsi="Titillium Web"/>
                <w:szCs w:val="24"/>
              </w:rPr>
            </w:pPr>
            <w:r>
              <w:rPr>
                <w:rFonts w:ascii="Titillium Web" w:hAnsi="Titillium Web"/>
                <w:szCs w:val="24"/>
              </w:rPr>
              <w:t>/</w:t>
            </w:r>
          </w:p>
        </w:tc>
      </w:tr>
      <w:tr w:rsidR="001B5504" w:rsidRPr="00996838" w14:paraId="6887A6E3" w14:textId="77777777" w:rsidTr="001B5504">
        <w:trPr>
          <w:jc w:val="center"/>
        </w:trPr>
        <w:tc>
          <w:tcPr>
            <w:tcW w:w="1650" w:type="pct"/>
            <w:vAlign w:val="center"/>
          </w:tcPr>
          <w:p w14:paraId="4944AE43" w14:textId="77777777" w:rsidR="001B5504" w:rsidRPr="00996838" w:rsidRDefault="001B5504" w:rsidP="00BF212E">
            <w:pPr>
              <w:jc w:val="center"/>
              <w:rPr>
                <w:rFonts w:ascii="Titillium Web" w:hAnsi="Titillium Web"/>
                <w:smallCaps/>
                <w:szCs w:val="24"/>
              </w:rPr>
            </w:pPr>
            <w:r w:rsidRPr="00996838">
              <w:rPr>
                <w:rFonts w:ascii="Titillium Web" w:hAnsi="Titillium Web"/>
                <w:smallCaps/>
                <w:szCs w:val="24"/>
              </w:rPr>
              <w:t>Link alla pubblicazione</w:t>
            </w:r>
          </w:p>
        </w:tc>
        <w:tc>
          <w:tcPr>
            <w:tcW w:w="3350" w:type="pct"/>
            <w:vAlign w:val="center"/>
          </w:tcPr>
          <w:p w14:paraId="6ADE2D95" w14:textId="5EBDA977" w:rsidR="001B5504" w:rsidRPr="00996838"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274AB"/>
    <w:rsid w:val="001836F7"/>
    <w:rsid w:val="001B5504"/>
    <w:rsid w:val="001F2833"/>
    <w:rsid w:val="0029024B"/>
    <w:rsid w:val="002977D7"/>
    <w:rsid w:val="002F1500"/>
    <w:rsid w:val="00314375"/>
    <w:rsid w:val="00472AF4"/>
    <w:rsid w:val="00560743"/>
    <w:rsid w:val="005B5AFF"/>
    <w:rsid w:val="005F6F97"/>
    <w:rsid w:val="0068458A"/>
    <w:rsid w:val="00710B38"/>
    <w:rsid w:val="007145BC"/>
    <w:rsid w:val="007D54CD"/>
    <w:rsid w:val="00942E70"/>
    <w:rsid w:val="00943EAC"/>
    <w:rsid w:val="00950348"/>
    <w:rsid w:val="00975CA9"/>
    <w:rsid w:val="00996838"/>
    <w:rsid w:val="00997946"/>
    <w:rsid w:val="009E4922"/>
    <w:rsid w:val="00A52A70"/>
    <w:rsid w:val="00A65CC0"/>
    <w:rsid w:val="00A905F4"/>
    <w:rsid w:val="00B165C4"/>
    <w:rsid w:val="00B86B2D"/>
    <w:rsid w:val="00BE2CB2"/>
    <w:rsid w:val="00BE63CC"/>
    <w:rsid w:val="00BF212E"/>
    <w:rsid w:val="00C21EE0"/>
    <w:rsid w:val="00C30F5C"/>
    <w:rsid w:val="00CC46E5"/>
    <w:rsid w:val="00D54723"/>
    <w:rsid w:val="00DB1668"/>
    <w:rsid w:val="00E0524C"/>
    <w:rsid w:val="00EF7488"/>
    <w:rsid w:val="00F96C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304</Words>
  <Characters>1739</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18</cp:revision>
  <dcterms:created xsi:type="dcterms:W3CDTF">2026-04-28T14:33:00Z</dcterms:created>
  <dcterms:modified xsi:type="dcterms:W3CDTF">2026-05-18T08:46:00Z</dcterms:modified>
</cp:coreProperties>
</file>