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1131</w:t>
      </w:r>
    </w:p>
    <w:tbl>
      <w:tblPr>
        <w:tblStyle w:val="Grigliatabella"/>
        <w:tblW w:w="5000" w:type="pct"/>
        <w:jc w:val="center"/>
        <w:tblLook w:val="04A0" w:firstRow="1" w:lastRow="0" w:firstColumn="1" w:lastColumn="0" w:noHBand="0" w:noVBand="1"/>
      </w:tblPr>
      <w:tblGrid>
        <w:gridCol w:w="2990"/>
        <w:gridCol w:w="6070"/>
      </w:tblGrid>
      <w:tr w:rsidR="0086297F" w:rsidRPr="00A43D32" w14:paraId="69604347" w14:textId="77777777" w:rsidTr="002665C6">
        <w:trPr>
          <w:jc w:val="center"/>
        </w:trPr>
        <w:tc>
          <w:tcPr>
            <w:tcW w:w="1650" w:type="pct"/>
            <w:vAlign w:val="center"/>
          </w:tcPr>
          <w:p w14:paraId="59258D49"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Anno di rinvenimento</w:t>
            </w:r>
          </w:p>
        </w:tc>
        <w:tc>
          <w:tcPr>
            <w:tcW w:w="3350" w:type="pct"/>
            <w:vAlign w:val="center"/>
          </w:tcPr>
          <w:p w14:paraId="10AA1E7C" w14:textId="59BFE2EE" w:rsidR="0086297F" w:rsidRPr="00A43D32" w:rsidRDefault="0086297F" w:rsidP="002665C6">
            <w:pPr>
              <w:jc w:val="center"/>
              <w:rPr>
                <w:rFonts w:ascii="Titillium Web" w:hAnsi="Titillium Web"/>
                <w:szCs w:val="24"/>
              </w:rPr>
            </w:pPr>
            <w:r w:rsidRPr="00A43D32">
              <w:rPr>
                <w:rFonts w:ascii="Titillium Web" w:hAnsi="Titillium Web"/>
                <w:szCs w:val="24"/>
              </w:rPr>
              <w:t>1930</w:t>
            </w:r>
          </w:p>
        </w:tc>
      </w:tr>
      <w:tr w:rsidR="0086297F" w:rsidRPr="00A43D32" w14:paraId="3B6B9C62" w14:textId="77777777" w:rsidTr="002665C6">
        <w:trPr>
          <w:jc w:val="center"/>
        </w:trPr>
        <w:tc>
          <w:tcPr>
            <w:tcW w:w="1650" w:type="pct"/>
            <w:vAlign w:val="center"/>
          </w:tcPr>
          <w:p w14:paraId="2D01D888"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Stato di conservazione della tomba</w:t>
            </w:r>
          </w:p>
        </w:tc>
        <w:tc>
          <w:tcPr>
            <w:tcW w:w="3350" w:type="pct"/>
            <w:vAlign w:val="center"/>
          </w:tcPr>
          <w:p w14:paraId="3ADC95CD" w14:textId="31719CCD" w:rsidR="0086297F" w:rsidRPr="00A43D32" w:rsidRDefault="0086297F" w:rsidP="002665C6">
            <w:pPr>
              <w:jc w:val="center"/>
              <w:rPr>
                <w:rFonts w:ascii="Titillium Web" w:hAnsi="Titillium Web"/>
                <w:szCs w:val="24"/>
              </w:rPr>
            </w:pPr>
            <w:r w:rsidRPr="00A43D32">
              <w:rPr>
                <w:rFonts w:ascii="Titillium Web" w:hAnsi="Titillium Web"/>
                <w:szCs w:val="24"/>
              </w:rPr>
              <w:t>Intatta</w:t>
            </w:r>
          </w:p>
        </w:tc>
      </w:tr>
      <w:tr w:rsidR="0086297F" w:rsidRPr="00A43D32" w14:paraId="3D165E1E" w14:textId="77777777" w:rsidTr="002665C6">
        <w:trPr>
          <w:jc w:val="center"/>
        </w:trPr>
        <w:tc>
          <w:tcPr>
            <w:tcW w:w="1650" w:type="pct"/>
            <w:vAlign w:val="center"/>
          </w:tcPr>
          <w:p w14:paraId="2A5B3D4F"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Rito di seppellimento</w:t>
            </w:r>
          </w:p>
        </w:tc>
        <w:tc>
          <w:tcPr>
            <w:tcW w:w="3350" w:type="pct"/>
            <w:vAlign w:val="center"/>
          </w:tcPr>
          <w:p w14:paraId="094BD426" w14:textId="6E99443A" w:rsidR="0086297F" w:rsidRPr="00A43D32" w:rsidRDefault="0086297F" w:rsidP="002665C6">
            <w:pPr>
              <w:jc w:val="center"/>
              <w:rPr>
                <w:rFonts w:ascii="Titillium Web" w:hAnsi="Titillium Web"/>
                <w:szCs w:val="24"/>
              </w:rPr>
            </w:pPr>
            <w:r w:rsidRPr="00A43D32">
              <w:rPr>
                <w:rFonts w:ascii="Titillium Web" w:hAnsi="Titillium Web"/>
                <w:szCs w:val="24"/>
              </w:rPr>
              <w:t>Inumazione</w:t>
            </w:r>
          </w:p>
        </w:tc>
      </w:tr>
      <w:tr w:rsidR="0086297F" w:rsidRPr="00A43D32" w14:paraId="44CADBCB" w14:textId="77777777" w:rsidTr="002665C6">
        <w:trPr>
          <w:jc w:val="center"/>
        </w:trPr>
        <w:tc>
          <w:tcPr>
            <w:tcW w:w="1650" w:type="pct"/>
            <w:vAlign w:val="center"/>
          </w:tcPr>
          <w:p w14:paraId="1E25741A"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Struttura tomba</w:t>
            </w:r>
          </w:p>
        </w:tc>
        <w:tc>
          <w:tcPr>
            <w:tcW w:w="3350" w:type="pct"/>
            <w:vAlign w:val="center"/>
          </w:tcPr>
          <w:p w14:paraId="1DE3BCB3" w14:textId="08DB6A85" w:rsidR="0086297F" w:rsidRPr="00A43D32" w:rsidRDefault="0086297F" w:rsidP="002665C6">
            <w:pPr>
              <w:jc w:val="center"/>
              <w:rPr>
                <w:rFonts w:ascii="Titillium Web" w:hAnsi="Titillium Web"/>
                <w:szCs w:val="24"/>
              </w:rPr>
            </w:pPr>
            <w:r w:rsidRPr="00A43D32">
              <w:rPr>
                <w:rFonts w:ascii="Titillium Web" w:hAnsi="Titillium Web"/>
                <w:szCs w:val="24"/>
              </w:rPr>
              <w:t>fossa con cassone ligneo</w:t>
            </w:r>
          </w:p>
        </w:tc>
      </w:tr>
      <w:tr w:rsidR="0086297F" w:rsidRPr="00A43D32" w14:paraId="47E1F943" w14:textId="77777777" w:rsidTr="002665C6">
        <w:trPr>
          <w:jc w:val="center"/>
        </w:trPr>
        <w:tc>
          <w:tcPr>
            <w:tcW w:w="1650" w:type="pct"/>
            <w:vAlign w:val="center"/>
          </w:tcPr>
          <w:p w14:paraId="355EE080"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 xml:space="preserve">Profondità dal piano di campagna </w:t>
            </w:r>
          </w:p>
        </w:tc>
        <w:tc>
          <w:tcPr>
            <w:tcW w:w="3350" w:type="pct"/>
            <w:vAlign w:val="center"/>
          </w:tcPr>
          <w:p w14:paraId="13D75B9B" w14:textId="6492371F" w:rsidR="0086297F" w:rsidRPr="00A43D32" w:rsidRDefault="0086297F" w:rsidP="002665C6">
            <w:pPr>
              <w:jc w:val="center"/>
              <w:rPr>
                <w:rFonts w:ascii="Titillium Web" w:hAnsi="Titillium Web"/>
                <w:szCs w:val="24"/>
              </w:rPr>
            </w:pPr>
            <w:r w:rsidRPr="00A43D32">
              <w:rPr>
                <w:rFonts w:ascii="Titillium Web" w:hAnsi="Titillium Web"/>
                <w:szCs w:val="24"/>
              </w:rPr>
              <w:t>1,1 m</w:t>
            </w:r>
          </w:p>
        </w:tc>
      </w:tr>
      <w:tr w:rsidR="0086297F" w:rsidRPr="00A43D32" w14:paraId="75BC79FE" w14:textId="77777777" w:rsidTr="002665C6">
        <w:trPr>
          <w:jc w:val="center"/>
        </w:trPr>
        <w:tc>
          <w:tcPr>
            <w:tcW w:w="1650" w:type="pct"/>
            <w:vAlign w:val="center"/>
          </w:tcPr>
          <w:p w14:paraId="432462C5"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Dimensioni della sepoltura</w:t>
            </w:r>
          </w:p>
        </w:tc>
        <w:tc>
          <w:tcPr>
            <w:tcW w:w="3350" w:type="pct"/>
            <w:vAlign w:val="center"/>
          </w:tcPr>
          <w:p w14:paraId="65EDFAD4" w14:textId="5859930D" w:rsidR="0086297F" w:rsidRPr="00A43D32" w:rsidRDefault="0086297F" w:rsidP="002665C6">
            <w:pPr>
              <w:jc w:val="center"/>
              <w:rPr>
                <w:rFonts w:ascii="Titillium Web" w:hAnsi="Titillium Web"/>
                <w:szCs w:val="24"/>
              </w:rPr>
            </w:pPr>
            <w:r w:rsidRPr="00A43D32">
              <w:rPr>
                <w:rFonts w:ascii="Titillium Web" w:hAnsi="Titillium Web"/>
                <w:szCs w:val="24"/>
              </w:rPr>
              <w:t>Dimensioni non registrate</w:t>
            </w:r>
          </w:p>
        </w:tc>
      </w:tr>
      <w:tr w:rsidR="0086297F" w:rsidRPr="00A43D32" w14:paraId="35E5C09E" w14:textId="77777777" w:rsidTr="002665C6">
        <w:trPr>
          <w:jc w:val="center"/>
        </w:trPr>
        <w:tc>
          <w:tcPr>
            <w:tcW w:w="1650" w:type="pct"/>
            <w:vAlign w:val="center"/>
          </w:tcPr>
          <w:p w14:paraId="5AA10374"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Orientamento dello scheletro</w:t>
            </w:r>
          </w:p>
        </w:tc>
        <w:tc>
          <w:tcPr>
            <w:tcW w:w="3350" w:type="pct"/>
            <w:vAlign w:val="center"/>
          </w:tcPr>
          <w:p w14:paraId="6E0E4E7B" w14:textId="7F6B3E0C" w:rsidR="0086297F" w:rsidRPr="00A43D32" w:rsidRDefault="0086297F" w:rsidP="002665C6">
            <w:pPr>
              <w:jc w:val="center"/>
              <w:rPr>
                <w:rFonts w:ascii="Titillium Web" w:hAnsi="Titillium Web"/>
                <w:szCs w:val="24"/>
              </w:rPr>
            </w:pPr>
            <w:r w:rsidRPr="00A43D32">
              <w:rPr>
                <w:rFonts w:ascii="Titillium Web" w:hAnsi="Titillium Web"/>
                <w:szCs w:val="24"/>
              </w:rPr>
              <w:t>NW-SE</w:t>
            </w:r>
          </w:p>
        </w:tc>
      </w:tr>
      <w:tr w:rsidR="0086297F" w:rsidRPr="00A43D32" w14:paraId="71236441" w14:textId="77777777" w:rsidTr="002665C6">
        <w:trPr>
          <w:jc w:val="center"/>
        </w:trPr>
        <w:tc>
          <w:tcPr>
            <w:tcW w:w="1650" w:type="pct"/>
            <w:vAlign w:val="center"/>
          </w:tcPr>
          <w:p w14:paraId="4A1B31A8"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Segnacolo</w:t>
            </w:r>
          </w:p>
        </w:tc>
        <w:tc>
          <w:tcPr>
            <w:tcW w:w="3350" w:type="pct"/>
            <w:vAlign w:val="center"/>
          </w:tcPr>
          <w:p w14:paraId="104CE615" w14:textId="50385AE1" w:rsidR="0086297F" w:rsidRPr="00A43D32" w:rsidRDefault="0086297F" w:rsidP="002665C6">
            <w:pPr>
              <w:jc w:val="center"/>
              <w:rPr>
                <w:rFonts w:ascii="Titillium Web" w:hAnsi="Titillium Web"/>
                <w:szCs w:val="24"/>
              </w:rPr>
            </w:pPr>
            <w:r w:rsidRPr="00A43D32">
              <w:rPr>
                <w:rFonts w:ascii="Titillium Web" w:hAnsi="Titillium Web"/>
                <w:szCs w:val="24"/>
              </w:rPr>
              <w:t>/</w:t>
            </w:r>
          </w:p>
        </w:tc>
      </w:tr>
      <w:tr w:rsidR="0086297F" w:rsidRPr="00A43D32" w14:paraId="6D6CBA71" w14:textId="77777777" w:rsidTr="002665C6">
        <w:trPr>
          <w:jc w:val="center"/>
        </w:trPr>
        <w:tc>
          <w:tcPr>
            <w:tcW w:w="1650" w:type="pct"/>
            <w:vAlign w:val="center"/>
          </w:tcPr>
          <w:p w14:paraId="75CA0D64"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Giornale di scavo</w:t>
            </w:r>
          </w:p>
        </w:tc>
        <w:tc>
          <w:tcPr>
            <w:tcW w:w="3350" w:type="pct"/>
            <w:vAlign w:val="center"/>
          </w:tcPr>
          <w:p w14:paraId="4D2B00FE" w14:textId="77777777" w:rsidR="00C80458" w:rsidRPr="00A43D32" w:rsidRDefault="003D2D23">
            <w:pPr>
              <w:rPr>
                <w:rFonts w:ascii="Titillium Web" w:hAnsi="Titillium Web"/>
                <w:i/>
                <w:iCs/>
                <w:szCs w:val="24"/>
              </w:rPr>
            </w:pPr>
            <w:r w:rsidRPr="00A43D32">
              <w:rPr>
                <w:rFonts w:ascii="Titillium Web" w:hAnsi="Titillium Web"/>
                <w:i/>
                <w:iCs/>
                <w:szCs w:val="24"/>
              </w:rPr>
              <w:t>Tomba 1131 a umazione (con cassa?)</w:t>
            </w:r>
          </w:p>
          <w:p w14:paraId="05D1ED1D" w14:textId="77777777" w:rsidR="00C80458" w:rsidRPr="00A43D32" w:rsidRDefault="00C80458">
            <w:pPr>
              <w:rPr>
                <w:rFonts w:ascii="Titillium Web" w:hAnsi="Titillium Web"/>
                <w:i/>
                <w:iCs/>
                <w:szCs w:val="24"/>
              </w:rPr>
            </w:pPr>
          </w:p>
          <w:p w14:paraId="61822708" w14:textId="77777777" w:rsidR="00C80458" w:rsidRPr="00A43D32" w:rsidRDefault="003D2D23">
            <w:pPr>
              <w:rPr>
                <w:rFonts w:ascii="Titillium Web" w:hAnsi="Titillium Web"/>
                <w:i/>
                <w:iCs/>
                <w:szCs w:val="24"/>
              </w:rPr>
            </w:pPr>
            <w:r w:rsidRPr="00A43D32">
              <w:rPr>
                <w:rFonts w:ascii="Titillium Web" w:hAnsi="Titillium Web"/>
                <w:i/>
                <w:iCs/>
                <w:szCs w:val="24"/>
              </w:rPr>
              <w:t>A m. 28 dal B (a pon. del B) a m. 17 a nord della tomba 1105 (a m. 407 dal Donna Bianca) a m. 1,10 di profondità poggia il cranio di uno scheletro orientato da nord-ovest a sud-est (gradi 290)</w:t>
            </w:r>
          </w:p>
          <w:p w14:paraId="59205245" w14:textId="77777777" w:rsidR="00C80458" w:rsidRPr="00A43D32" w:rsidRDefault="003D2D23">
            <w:pPr>
              <w:rPr>
                <w:rFonts w:ascii="Titillium Web" w:hAnsi="Titillium Web"/>
                <w:i/>
                <w:iCs/>
                <w:szCs w:val="24"/>
              </w:rPr>
            </w:pPr>
            <w:r w:rsidRPr="00A43D32">
              <w:rPr>
                <w:rFonts w:ascii="Titillium Web" w:hAnsi="Titillium Web"/>
                <w:i/>
                <w:iCs/>
                <w:szCs w:val="24"/>
              </w:rPr>
              <w:t>Presso la testa e presso la spalla destra dello scheletro era disposto un cumulo di suppellettili aggrovigliate fra loro che tenterò di descrivere.</w:t>
            </w:r>
          </w:p>
          <w:p w14:paraId="4800FE47" w14:textId="77777777" w:rsidR="00C80458" w:rsidRPr="00A43D32" w:rsidRDefault="003D2D23">
            <w:pPr>
              <w:rPr>
                <w:rFonts w:ascii="Titillium Web" w:hAnsi="Titillium Web"/>
                <w:i/>
                <w:iCs/>
                <w:szCs w:val="24"/>
              </w:rPr>
            </w:pPr>
            <w:proofErr w:type="gramStart"/>
            <w:r w:rsidRPr="00A43D32">
              <w:rPr>
                <w:rFonts w:ascii="Titillium Web" w:hAnsi="Titillium Web"/>
                <w:i/>
                <w:iCs/>
                <w:szCs w:val="24"/>
              </w:rPr>
              <w:t>2</w:t>
            </w:r>
            <w:proofErr w:type="gramEnd"/>
            <w:r w:rsidRPr="00A43D32">
              <w:rPr>
                <w:rFonts w:ascii="Titillium Web" w:hAnsi="Titillium Web"/>
                <w:i/>
                <w:iCs/>
                <w:szCs w:val="24"/>
              </w:rPr>
              <w:t xml:space="preserve"> anfore pontute, grezze, erano piantate sul terreno sabbioso, ai lati delle quali erano</w:t>
            </w:r>
          </w:p>
          <w:p w14:paraId="6927C222" w14:textId="77777777" w:rsidR="00C80458" w:rsidRPr="00A43D32" w:rsidRDefault="003D2D23">
            <w:pPr>
              <w:rPr>
                <w:rFonts w:ascii="Titillium Web" w:hAnsi="Titillium Web"/>
                <w:i/>
                <w:iCs/>
                <w:szCs w:val="24"/>
              </w:rPr>
            </w:pPr>
            <w:proofErr w:type="gramStart"/>
            <w:r w:rsidRPr="00A43D32">
              <w:rPr>
                <w:rFonts w:ascii="Titillium Web" w:hAnsi="Titillium Web"/>
                <w:i/>
                <w:iCs/>
                <w:szCs w:val="24"/>
              </w:rPr>
              <w:t>2</w:t>
            </w:r>
            <w:proofErr w:type="gramEnd"/>
            <w:r w:rsidRPr="00A43D32">
              <w:rPr>
                <w:rFonts w:ascii="Titillium Web" w:hAnsi="Titillium Web"/>
                <w:i/>
                <w:iCs/>
                <w:szCs w:val="24"/>
              </w:rPr>
              <w:t xml:space="preserve"> oggetti di ferro dei quali uno (quello di sinis.) con tutta probabilità è un</w:t>
            </w:r>
          </w:p>
          <w:p w14:paraId="354F721C" w14:textId="77777777" w:rsidR="00C80458" w:rsidRPr="00A43D32" w:rsidRDefault="003D2D23">
            <w:pPr>
              <w:rPr>
                <w:rFonts w:ascii="Titillium Web" w:hAnsi="Titillium Web"/>
                <w:i/>
                <w:iCs/>
                <w:szCs w:val="24"/>
              </w:rPr>
            </w:pPr>
            <w:r w:rsidRPr="00A43D32">
              <w:rPr>
                <w:rFonts w:ascii="Titillium Web" w:hAnsi="Titillium Web"/>
                <w:i/>
                <w:iCs/>
                <w:szCs w:val="24"/>
              </w:rPr>
              <w:t xml:space="preserve">candelabro di ferro, alto 0,86, con piede a tre branche ad imitazione dei candelabri bronzei. In cima allo stelo era un’ingrossamento come un piatto, alla periferia del quale si notavano delle sporgenze come di uncini o di </w:t>
            </w:r>
            <w:proofErr w:type="gramStart"/>
            <w:r w:rsidRPr="00A43D32">
              <w:rPr>
                <w:rFonts w:ascii="Titillium Web" w:hAnsi="Titillium Web"/>
                <w:i/>
                <w:iCs/>
                <w:szCs w:val="24"/>
              </w:rPr>
              <w:t>gangi ?</w:t>
            </w:r>
            <w:proofErr w:type="gramEnd"/>
            <w:r w:rsidRPr="00A43D32">
              <w:rPr>
                <w:rFonts w:ascii="Titillium Web" w:hAnsi="Titillium Web"/>
                <w:i/>
                <w:iCs/>
                <w:szCs w:val="24"/>
              </w:rPr>
              <w:t xml:space="preserve"> spezzati.</w:t>
            </w:r>
          </w:p>
          <w:p w14:paraId="43D97B42" w14:textId="77777777" w:rsidR="00C80458" w:rsidRPr="00A43D32" w:rsidRDefault="003D2D23">
            <w:pPr>
              <w:rPr>
                <w:rFonts w:ascii="Titillium Web" w:hAnsi="Titillium Web"/>
                <w:i/>
                <w:iCs/>
                <w:szCs w:val="24"/>
              </w:rPr>
            </w:pPr>
            <w:r w:rsidRPr="00A43D32">
              <w:rPr>
                <w:rFonts w:ascii="Titillium Web" w:hAnsi="Titillium Web"/>
                <w:i/>
                <w:iCs/>
                <w:szCs w:val="24"/>
              </w:rPr>
              <w:t>Si comprende che a mano a mano che lo scavo toglieva la terra, i frammenti del candelabro crollavano e non se ne riconosceva in fine che un mucchio di pezzi informi.</w:t>
            </w:r>
          </w:p>
          <w:p w14:paraId="095A59B6" w14:textId="77777777" w:rsidR="00C80458" w:rsidRPr="00A43D32" w:rsidRDefault="003D2D23">
            <w:pPr>
              <w:rPr>
                <w:rFonts w:ascii="Titillium Web" w:hAnsi="Titillium Web"/>
                <w:i/>
                <w:iCs/>
                <w:szCs w:val="24"/>
              </w:rPr>
            </w:pPr>
            <w:r w:rsidRPr="00A43D32">
              <w:rPr>
                <w:rFonts w:ascii="Titillium Web" w:hAnsi="Titillium Web"/>
                <w:i/>
                <w:iCs/>
                <w:szCs w:val="24"/>
              </w:rPr>
              <w:t>L’altro oggetto che sembrava reggere l’anfora di destra, non ho capito cosa potesse essere. Esso pure è crollato in frammenti informi appena tolta la terra che lo sosteneva</w:t>
            </w:r>
          </w:p>
          <w:p w14:paraId="6A306093" w14:textId="77777777" w:rsidR="00C80458" w:rsidRPr="00A43D32" w:rsidRDefault="003D2D23">
            <w:pPr>
              <w:rPr>
                <w:rFonts w:ascii="Titillium Web" w:hAnsi="Titillium Web"/>
                <w:i/>
                <w:iCs/>
                <w:szCs w:val="24"/>
              </w:rPr>
            </w:pPr>
            <w:r w:rsidRPr="00A43D32">
              <w:rPr>
                <w:rFonts w:ascii="Titillium Web" w:hAnsi="Titillium Web"/>
                <w:i/>
                <w:iCs/>
                <w:szCs w:val="24"/>
              </w:rPr>
              <w:t>Frammezzo alle due anfore e alti come se fossero appoggiati su di uno zoccolo erano:</w:t>
            </w:r>
          </w:p>
          <w:p w14:paraId="5CF5CFDA" w14:textId="77777777" w:rsidR="00C80458" w:rsidRPr="00A43D32" w:rsidRDefault="003D2D23">
            <w:pPr>
              <w:rPr>
                <w:rFonts w:ascii="Titillium Web" w:hAnsi="Titillium Web"/>
                <w:i/>
                <w:iCs/>
                <w:szCs w:val="24"/>
              </w:rPr>
            </w:pPr>
            <w:r w:rsidRPr="00A43D32">
              <w:rPr>
                <w:rFonts w:ascii="Titillium Web" w:hAnsi="Titillium Web"/>
                <w:i/>
                <w:iCs/>
                <w:szCs w:val="24"/>
              </w:rPr>
              <w:lastRenderedPageBreak/>
              <w:t xml:space="preserve">2 crateri a campana, figurati, di fabbrica italiota, di forma svelta e con piede lungo e sottile, entrambi in </w:t>
            </w:r>
            <w:proofErr w:type="gramStart"/>
            <w:r w:rsidRPr="00A43D32">
              <w:rPr>
                <w:rFonts w:ascii="Titillium Web" w:hAnsi="Titillium Web"/>
                <w:i/>
                <w:iCs/>
                <w:szCs w:val="24"/>
              </w:rPr>
              <w:t>frammenti;</w:t>
            </w:r>
            <w:proofErr w:type="gramEnd"/>
            <w:r w:rsidRPr="00A43D32">
              <w:rPr>
                <w:rFonts w:ascii="Titillium Web" w:hAnsi="Titillium Web"/>
                <w:i/>
                <w:iCs/>
                <w:szCs w:val="24"/>
              </w:rPr>
              <w:t xml:space="preserve"> (le bocche dei vasi distavano circa 0,50 dal piano di campagna)</w:t>
            </w:r>
          </w:p>
          <w:p w14:paraId="5D33BFFA" w14:textId="77777777" w:rsidR="00C80458" w:rsidRPr="00A43D32" w:rsidRDefault="003D2D23">
            <w:pPr>
              <w:rPr>
                <w:rFonts w:ascii="Titillium Web" w:hAnsi="Titillium Web"/>
                <w:i/>
                <w:iCs/>
                <w:szCs w:val="24"/>
              </w:rPr>
            </w:pPr>
            <w:r w:rsidRPr="00A43D32">
              <w:rPr>
                <w:rFonts w:ascii="Titillium Web" w:hAnsi="Titillium Web"/>
                <w:i/>
                <w:iCs/>
                <w:szCs w:val="24"/>
              </w:rPr>
              <w:t>Le radici del terreno avevano frammentato i vasi. Il disegno è strapazzato ed inabile.</w:t>
            </w:r>
          </w:p>
          <w:p w14:paraId="2558B53C" w14:textId="77777777" w:rsidR="00C80458" w:rsidRPr="00A43D32" w:rsidRDefault="003D2D23">
            <w:pPr>
              <w:rPr>
                <w:rFonts w:ascii="Titillium Web" w:hAnsi="Titillium Web"/>
                <w:i/>
                <w:iCs/>
                <w:szCs w:val="24"/>
              </w:rPr>
            </w:pPr>
            <w:r w:rsidRPr="00A43D32">
              <w:rPr>
                <w:rFonts w:ascii="Titillium Web" w:hAnsi="Titillium Web"/>
                <w:i/>
                <w:iCs/>
                <w:szCs w:val="24"/>
              </w:rPr>
              <w:t>Le scene dei vasi, ora non è possibile descriverle perché coperte di concrezioni.</w:t>
            </w:r>
          </w:p>
          <w:p w14:paraId="572D8959" w14:textId="77777777" w:rsidR="00C80458" w:rsidRPr="00A43D32" w:rsidRDefault="003D2D23">
            <w:pPr>
              <w:rPr>
                <w:rFonts w:ascii="Titillium Web" w:hAnsi="Titillium Web"/>
                <w:i/>
                <w:iCs/>
                <w:szCs w:val="24"/>
              </w:rPr>
            </w:pPr>
            <w:r w:rsidRPr="00A43D32">
              <w:rPr>
                <w:rFonts w:ascii="Titillium Web" w:hAnsi="Titillium Web"/>
                <w:i/>
                <w:iCs/>
                <w:szCs w:val="24"/>
              </w:rPr>
              <w:t>Presso i piedi dei vasi descritti erano:</w:t>
            </w:r>
          </w:p>
          <w:p w14:paraId="08FB1146" w14:textId="77777777" w:rsidR="00C80458" w:rsidRPr="00A43D32" w:rsidRDefault="003D2D23">
            <w:pPr>
              <w:rPr>
                <w:rFonts w:ascii="Titillium Web" w:hAnsi="Titillium Web"/>
                <w:i/>
                <w:iCs/>
                <w:szCs w:val="24"/>
              </w:rPr>
            </w:pPr>
            <w:proofErr w:type="gramStart"/>
            <w:r w:rsidRPr="00A43D32">
              <w:rPr>
                <w:rFonts w:ascii="Titillium Web" w:hAnsi="Titillium Web"/>
                <w:i/>
                <w:iCs/>
                <w:szCs w:val="24"/>
              </w:rPr>
              <w:t>5</w:t>
            </w:r>
            <w:proofErr w:type="gramEnd"/>
            <w:r w:rsidRPr="00A43D32">
              <w:rPr>
                <w:rFonts w:ascii="Titillium Web" w:hAnsi="Titillium Web"/>
                <w:i/>
                <w:iCs/>
                <w:szCs w:val="24"/>
              </w:rPr>
              <w:t xml:space="preserve"> piccoli vasetti con ansa a voluta, della forma di bicchiere o modiolo, di argilla rossastra, grezzi e con le anse o stacate o mancanti</w:t>
            </w:r>
          </w:p>
          <w:p w14:paraId="22D25A29" w14:textId="77777777" w:rsidR="00C80458" w:rsidRPr="00A43D32" w:rsidRDefault="003D2D23">
            <w:pPr>
              <w:rPr>
                <w:rFonts w:ascii="Titillium Web" w:hAnsi="Titillium Web"/>
                <w:i/>
                <w:iCs/>
                <w:szCs w:val="24"/>
              </w:rPr>
            </w:pPr>
            <w:r w:rsidRPr="00A43D32">
              <w:rPr>
                <w:rFonts w:ascii="Titillium Web" w:hAnsi="Titillium Web"/>
                <w:i/>
                <w:iCs/>
                <w:szCs w:val="24"/>
              </w:rPr>
              <w:t>Anfore, crateri, modioli, candelabro e l’altro oggetto di ferro, formavano un blocco compatto con la sabbia del terreno cementata dagli ossidi degli oggetti metallici che non si poteva capire -</w:t>
            </w:r>
          </w:p>
          <w:p w14:paraId="7AD9A56B" w14:textId="77777777" w:rsidR="00C80458" w:rsidRPr="00A43D32" w:rsidRDefault="003D2D23">
            <w:pPr>
              <w:rPr>
                <w:rFonts w:ascii="Titillium Web" w:hAnsi="Titillium Web"/>
                <w:i/>
                <w:iCs/>
                <w:szCs w:val="24"/>
              </w:rPr>
            </w:pPr>
            <w:r w:rsidRPr="00A43D32">
              <w:rPr>
                <w:rFonts w:ascii="Titillium Web" w:hAnsi="Titillium Web"/>
                <w:i/>
                <w:iCs/>
                <w:szCs w:val="24"/>
              </w:rPr>
              <w:t>Le anfore erano completamente frammentate causa le radici del terreno e di esse si raccolsero soltanto i colli con le anse.</w:t>
            </w:r>
          </w:p>
          <w:p w14:paraId="0AABE180" w14:textId="77777777" w:rsidR="00C80458" w:rsidRPr="00A43D32" w:rsidRDefault="003D2D23">
            <w:pPr>
              <w:rPr>
                <w:rFonts w:ascii="Titillium Web" w:hAnsi="Titillium Web"/>
                <w:i/>
                <w:iCs/>
                <w:szCs w:val="24"/>
              </w:rPr>
            </w:pPr>
            <w:r w:rsidRPr="00A43D32">
              <w:rPr>
                <w:rFonts w:ascii="Titillium Web" w:hAnsi="Titillium Web"/>
                <w:i/>
                <w:iCs/>
                <w:szCs w:val="24"/>
              </w:rPr>
              <w:t>A sud di questi oggetti, lungo il fianco destro dello scheletro, si raccolsero:</w:t>
            </w:r>
          </w:p>
          <w:p w14:paraId="7EF6A711" w14:textId="77777777" w:rsidR="00C80458" w:rsidRPr="00A43D32" w:rsidRDefault="003D2D23">
            <w:pPr>
              <w:rPr>
                <w:rFonts w:ascii="Titillium Web" w:hAnsi="Titillium Web"/>
                <w:i/>
                <w:iCs/>
                <w:szCs w:val="24"/>
              </w:rPr>
            </w:pPr>
            <w:r w:rsidRPr="00A43D32">
              <w:rPr>
                <w:rFonts w:ascii="Titillium Web" w:hAnsi="Titillium Web"/>
                <w:i/>
                <w:iCs/>
                <w:szCs w:val="24"/>
              </w:rPr>
              <w:t>1 lekane di grandezza rilevante, con il coperchio decorato a fig. rosse su f. nero, con le solite donne con cassettine e stoffe, di disegno trasandato e affrettato.</w:t>
            </w:r>
          </w:p>
          <w:p w14:paraId="57742086" w14:textId="77777777" w:rsidR="00C80458" w:rsidRPr="00A43D32" w:rsidRDefault="003D2D23">
            <w:pPr>
              <w:rPr>
                <w:rFonts w:ascii="Titillium Web" w:hAnsi="Titillium Web"/>
                <w:i/>
                <w:iCs/>
                <w:szCs w:val="24"/>
              </w:rPr>
            </w:pPr>
            <w:r w:rsidRPr="00A43D32">
              <w:rPr>
                <w:rFonts w:ascii="Titillium Web" w:hAnsi="Titillium Web"/>
                <w:i/>
                <w:iCs/>
                <w:szCs w:val="24"/>
              </w:rPr>
              <w:t>La lekane ed il coperchio sono in frammenti.</w:t>
            </w:r>
          </w:p>
          <w:p w14:paraId="1D109D82" w14:textId="77777777" w:rsidR="00C80458" w:rsidRPr="00A43D32" w:rsidRDefault="003D2D23">
            <w:pPr>
              <w:rPr>
                <w:rFonts w:ascii="Titillium Web" w:hAnsi="Titillium Web"/>
                <w:i/>
                <w:iCs/>
                <w:szCs w:val="24"/>
              </w:rPr>
            </w:pPr>
            <w:r w:rsidRPr="00A43D32">
              <w:rPr>
                <w:rFonts w:ascii="Titillium Web" w:hAnsi="Titillium Web"/>
                <w:i/>
                <w:iCs/>
                <w:szCs w:val="24"/>
              </w:rPr>
              <w:t>2 kotylai imbutiformi a fig. rosse su f. nero, di disegno goffo e inabile: sono frammentati ma ricomponibili.</w:t>
            </w:r>
          </w:p>
          <w:p w14:paraId="21773C20" w14:textId="77777777" w:rsidR="00C80458" w:rsidRPr="00A43D32" w:rsidRDefault="003D2D23">
            <w:pPr>
              <w:rPr>
                <w:rFonts w:ascii="Titillium Web" w:hAnsi="Titillium Web"/>
                <w:i/>
                <w:iCs/>
                <w:szCs w:val="24"/>
              </w:rPr>
            </w:pPr>
            <w:r w:rsidRPr="00A43D32">
              <w:rPr>
                <w:rFonts w:ascii="Titillium Web" w:hAnsi="Titillium Web"/>
                <w:i/>
                <w:iCs/>
                <w:szCs w:val="24"/>
              </w:rPr>
              <w:t>1 lucernina (guttus.) di forma a cipolla, con ansa a nastro; è decorata di pennellate di tinta bruno scura sulla spalla: è intera</w:t>
            </w:r>
          </w:p>
          <w:p w14:paraId="764A5E6E" w14:textId="77777777" w:rsidR="00C80458" w:rsidRPr="00A43D32" w:rsidRDefault="003D2D23">
            <w:pPr>
              <w:rPr>
                <w:rFonts w:ascii="Titillium Web" w:hAnsi="Titillium Web"/>
                <w:i/>
                <w:iCs/>
                <w:szCs w:val="24"/>
              </w:rPr>
            </w:pPr>
            <w:r w:rsidRPr="00A43D32">
              <w:rPr>
                <w:rFonts w:ascii="Titillium Web" w:hAnsi="Titillium Web"/>
                <w:i/>
                <w:iCs/>
                <w:szCs w:val="24"/>
              </w:rPr>
              <w:t>1 colatoio, con cavetto centrale bucherellato di argilla giallo rossiccia, grezzo e frammentario: aveva un’ansa ad anello fissa, per appenderlo. (l’ansa di cotto è frammentaria -)</w:t>
            </w:r>
          </w:p>
          <w:p w14:paraId="1E1594C1" w14:textId="77777777" w:rsidR="00C80458" w:rsidRPr="00A43D32" w:rsidRDefault="003D2D23">
            <w:pPr>
              <w:rPr>
                <w:rFonts w:ascii="Titillium Web" w:hAnsi="Titillium Web"/>
                <w:i/>
                <w:iCs/>
                <w:szCs w:val="24"/>
              </w:rPr>
            </w:pPr>
            <w:r w:rsidRPr="00A43D32">
              <w:rPr>
                <w:rFonts w:ascii="Titillium Web" w:hAnsi="Titillium Web"/>
                <w:i/>
                <w:iCs/>
                <w:szCs w:val="24"/>
              </w:rPr>
              <w:t>8 tazze e tazzette, grandi e piccole (7 delle quali a bella vern. nera) e una a ver. n. scadente</w:t>
            </w:r>
          </w:p>
          <w:p w14:paraId="3CF86E14" w14:textId="77777777" w:rsidR="00C80458" w:rsidRPr="00A43D32" w:rsidRDefault="003D2D23">
            <w:pPr>
              <w:rPr>
                <w:rFonts w:ascii="Titillium Web" w:hAnsi="Titillium Web"/>
                <w:i/>
                <w:iCs/>
                <w:szCs w:val="24"/>
              </w:rPr>
            </w:pPr>
            <w:r w:rsidRPr="00A43D32">
              <w:rPr>
                <w:rFonts w:ascii="Titillium Web" w:hAnsi="Titillium Web"/>
                <w:i/>
                <w:iCs/>
                <w:szCs w:val="24"/>
              </w:rPr>
              <w:t>Sono tutte più o meno frammentarie.</w:t>
            </w:r>
          </w:p>
          <w:p w14:paraId="21A3D76D" w14:textId="77777777" w:rsidR="00C80458" w:rsidRPr="00A43D32" w:rsidRDefault="003D2D23">
            <w:pPr>
              <w:rPr>
                <w:rFonts w:ascii="Titillium Web" w:hAnsi="Titillium Web"/>
                <w:i/>
                <w:iCs/>
                <w:szCs w:val="24"/>
              </w:rPr>
            </w:pPr>
            <w:proofErr w:type="gramStart"/>
            <w:r w:rsidRPr="00A43D32">
              <w:rPr>
                <w:rFonts w:ascii="Titillium Web" w:hAnsi="Titillium Web"/>
                <w:i/>
                <w:iCs/>
                <w:szCs w:val="24"/>
              </w:rPr>
              <w:t>7</w:t>
            </w:r>
            <w:proofErr w:type="gramEnd"/>
            <w:r w:rsidRPr="00A43D32">
              <w:rPr>
                <w:rFonts w:ascii="Titillium Web" w:hAnsi="Titillium Web"/>
                <w:i/>
                <w:iCs/>
                <w:szCs w:val="24"/>
              </w:rPr>
              <w:t xml:space="preserve"> piattini apodi, grezzi, di argilla </w:t>
            </w:r>
            <w:proofErr w:type="gramStart"/>
            <w:r w:rsidRPr="00A43D32">
              <w:rPr>
                <w:rFonts w:ascii="Titillium Web" w:hAnsi="Titillium Web"/>
                <w:i/>
                <w:iCs/>
                <w:szCs w:val="24"/>
              </w:rPr>
              <w:t>bruno .</w:t>
            </w:r>
            <w:proofErr w:type="gramEnd"/>
            <w:r w:rsidRPr="00A43D32">
              <w:rPr>
                <w:rFonts w:ascii="Titillium Web" w:hAnsi="Titillium Web"/>
                <w:i/>
                <w:iCs/>
                <w:szCs w:val="24"/>
              </w:rPr>
              <w:t xml:space="preserve"> cenerognola, quasi interi.</w:t>
            </w:r>
          </w:p>
          <w:p w14:paraId="258C2221" w14:textId="77777777" w:rsidR="00C80458" w:rsidRPr="00A43D32" w:rsidRDefault="003D2D23">
            <w:pPr>
              <w:rPr>
                <w:rFonts w:ascii="Titillium Web" w:hAnsi="Titillium Web"/>
                <w:i/>
                <w:iCs/>
                <w:szCs w:val="24"/>
              </w:rPr>
            </w:pPr>
            <w:r w:rsidRPr="00A43D32">
              <w:rPr>
                <w:rFonts w:ascii="Titillium Web" w:hAnsi="Titillium Web"/>
                <w:i/>
                <w:iCs/>
                <w:szCs w:val="24"/>
              </w:rPr>
              <w:t>pochi frammenti di qualche altro piattino.</w:t>
            </w:r>
          </w:p>
          <w:p w14:paraId="0C0601F1" w14:textId="77777777" w:rsidR="00C80458" w:rsidRPr="00A43D32" w:rsidRDefault="003D2D23">
            <w:pPr>
              <w:rPr>
                <w:rFonts w:ascii="Titillium Web" w:hAnsi="Titillium Web"/>
                <w:i/>
                <w:iCs/>
                <w:szCs w:val="24"/>
              </w:rPr>
            </w:pPr>
            <w:r w:rsidRPr="00A43D32">
              <w:rPr>
                <w:rFonts w:ascii="Titillium Web" w:hAnsi="Titillium Web"/>
                <w:i/>
                <w:iCs/>
                <w:szCs w:val="24"/>
              </w:rPr>
              <w:t>Presso i piedi dello scheletro erano:</w:t>
            </w:r>
          </w:p>
          <w:p w14:paraId="5D8525A2" w14:textId="77777777" w:rsidR="00C80458" w:rsidRPr="00A43D32" w:rsidRDefault="003D2D23">
            <w:pPr>
              <w:rPr>
                <w:rFonts w:ascii="Titillium Web" w:hAnsi="Titillium Web"/>
                <w:i/>
                <w:iCs/>
                <w:szCs w:val="24"/>
              </w:rPr>
            </w:pPr>
            <w:r w:rsidRPr="00A43D32">
              <w:rPr>
                <w:rFonts w:ascii="Titillium Web" w:hAnsi="Titillium Web"/>
                <w:i/>
                <w:iCs/>
                <w:szCs w:val="24"/>
              </w:rPr>
              <w:t>2 alabastron interi, alti 0,215 ciascuno.</w:t>
            </w:r>
          </w:p>
          <w:p w14:paraId="5801A2B3" w14:textId="77777777" w:rsidR="00C80458" w:rsidRPr="00A43D32" w:rsidRDefault="003D2D23">
            <w:pPr>
              <w:rPr>
                <w:rFonts w:ascii="Titillium Web" w:hAnsi="Titillium Web"/>
                <w:i/>
                <w:iCs/>
                <w:szCs w:val="24"/>
              </w:rPr>
            </w:pPr>
            <w:r w:rsidRPr="00A43D32">
              <w:rPr>
                <w:rFonts w:ascii="Titillium Web" w:hAnsi="Titillium Web"/>
                <w:i/>
                <w:iCs/>
                <w:szCs w:val="24"/>
              </w:rPr>
              <w:lastRenderedPageBreak/>
              <w:t>Fu raccolto il cranio -</w:t>
            </w:r>
          </w:p>
          <w:p w14:paraId="51CB879D" w14:textId="77777777" w:rsidR="00C80458" w:rsidRPr="00A43D32" w:rsidRDefault="003D2D23">
            <w:pPr>
              <w:rPr>
                <w:rFonts w:ascii="Titillium Web" w:hAnsi="Titillium Web"/>
                <w:i/>
                <w:iCs/>
                <w:szCs w:val="24"/>
              </w:rPr>
            </w:pPr>
            <w:r w:rsidRPr="00A43D32">
              <w:rPr>
                <w:rFonts w:ascii="Titillium Web" w:hAnsi="Titillium Web"/>
                <w:i/>
                <w:iCs/>
                <w:szCs w:val="24"/>
              </w:rPr>
              <w:t xml:space="preserve">Aveva la cassa di legno, la </w:t>
            </w:r>
            <w:proofErr w:type="gramStart"/>
            <w:r w:rsidRPr="00A43D32">
              <w:rPr>
                <w:rFonts w:ascii="Titillium Web" w:hAnsi="Titillium Web"/>
                <w:i/>
                <w:iCs/>
                <w:szCs w:val="24"/>
              </w:rPr>
              <w:t>tomba ?</w:t>
            </w:r>
            <w:proofErr w:type="gramEnd"/>
          </w:p>
          <w:p w14:paraId="081E8308" w14:textId="77777777" w:rsidR="00C80458" w:rsidRPr="00A43D32" w:rsidRDefault="003D2D23">
            <w:pPr>
              <w:rPr>
                <w:rFonts w:ascii="Titillium Web" w:hAnsi="Titillium Web"/>
                <w:i/>
                <w:iCs/>
                <w:szCs w:val="24"/>
              </w:rPr>
            </w:pPr>
            <w:r w:rsidRPr="00A43D32">
              <w:rPr>
                <w:rFonts w:ascii="Titillium Web" w:hAnsi="Titillium Web"/>
                <w:i/>
                <w:iCs/>
                <w:szCs w:val="24"/>
              </w:rPr>
              <w:t>Nessuna traccia di legno apparve durante lo scavo. Può darsi che la sabbia argillosa della duna abbia completamente consumate le fibre legnose di un tavolato che poteva esserci ed anche di una cassa con coperchio, poiché come si vede dallo schizzo, si rinvenne nella sezione dello scavo e assai più alto della testa e anche degli oggetti, un grosso chiodo di ferro, ritto verticale nella sabbia.</w:t>
            </w:r>
          </w:p>
          <w:p w14:paraId="15957A17" w14:textId="77777777" w:rsidR="00C80458" w:rsidRPr="00A43D32" w:rsidRDefault="003D2D23">
            <w:pPr>
              <w:rPr>
                <w:rFonts w:ascii="Titillium Web" w:hAnsi="Titillium Web"/>
                <w:i/>
                <w:iCs/>
                <w:szCs w:val="24"/>
              </w:rPr>
            </w:pPr>
            <w:r w:rsidRPr="00A43D32">
              <w:rPr>
                <w:rFonts w:ascii="Titillium Web" w:hAnsi="Titillium Web"/>
                <w:i/>
                <w:iCs/>
                <w:szCs w:val="24"/>
              </w:rPr>
              <w:t>Dopo eseguito il lavaggio preliminare ai due crateri, ecco quanto si vede coperto da concrezioni.</w:t>
            </w:r>
          </w:p>
          <w:p w14:paraId="22796FF7" w14:textId="77777777" w:rsidR="00C80458" w:rsidRPr="00A43D32" w:rsidRDefault="003D2D23">
            <w:pPr>
              <w:rPr>
                <w:rFonts w:ascii="Titillium Web" w:hAnsi="Titillium Web"/>
                <w:i/>
                <w:iCs/>
                <w:szCs w:val="24"/>
              </w:rPr>
            </w:pPr>
            <w:r w:rsidRPr="00A43D32">
              <w:rPr>
                <w:rFonts w:ascii="Titillium Web" w:hAnsi="Titillium Web"/>
                <w:i/>
                <w:iCs/>
                <w:szCs w:val="24"/>
              </w:rPr>
              <w:t xml:space="preserve">1 figura </w:t>
            </w:r>
            <w:proofErr w:type="gramStart"/>
            <w:r w:rsidRPr="00A43D32">
              <w:rPr>
                <w:rFonts w:ascii="Titillium Web" w:hAnsi="Titillium Web"/>
                <w:i/>
                <w:iCs/>
                <w:szCs w:val="24"/>
              </w:rPr>
              <w:t>fem.le ?</w:t>
            </w:r>
            <w:proofErr w:type="gramEnd"/>
            <w:r w:rsidRPr="00A43D32">
              <w:rPr>
                <w:rFonts w:ascii="Titillium Web" w:hAnsi="Titillium Web"/>
                <w:i/>
                <w:iCs/>
                <w:szCs w:val="24"/>
              </w:rPr>
              <w:t xml:space="preserve"> con tirso nella des. seduta e volta a des. verso altra figura irriconoscibile in piedi; ai lati due satiri.</w:t>
            </w:r>
          </w:p>
          <w:p w14:paraId="27C925A2" w14:textId="77777777" w:rsidR="00C80458" w:rsidRPr="00A43D32" w:rsidRDefault="003D2D23">
            <w:pPr>
              <w:rPr>
                <w:rFonts w:ascii="Titillium Web" w:hAnsi="Titillium Web"/>
                <w:i/>
                <w:iCs/>
                <w:szCs w:val="24"/>
              </w:rPr>
            </w:pPr>
            <w:r w:rsidRPr="00A43D32">
              <w:rPr>
                <w:rFonts w:ascii="Titillium Web" w:hAnsi="Titillium Web"/>
                <w:i/>
                <w:iCs/>
                <w:szCs w:val="24"/>
              </w:rPr>
              <w:t>traccie di pittura a colori.</w:t>
            </w:r>
          </w:p>
          <w:p w14:paraId="6AB57597" w14:textId="77777777" w:rsidR="00C80458" w:rsidRPr="00A43D32" w:rsidRDefault="003D2D23">
            <w:pPr>
              <w:rPr>
                <w:rFonts w:ascii="Titillium Web" w:hAnsi="Titillium Web"/>
                <w:i/>
                <w:iCs/>
                <w:szCs w:val="24"/>
              </w:rPr>
            </w:pPr>
            <w:r w:rsidRPr="00A43D32">
              <w:rPr>
                <w:rFonts w:ascii="Titillium Web" w:hAnsi="Titillium Web"/>
                <w:i/>
                <w:iCs/>
                <w:szCs w:val="24"/>
              </w:rPr>
              <w:t xml:space="preserve">2 Una biga che corre verso des. montata da figura </w:t>
            </w:r>
            <w:proofErr w:type="gramStart"/>
            <w:r w:rsidRPr="00A43D32">
              <w:rPr>
                <w:rFonts w:ascii="Titillium Web" w:hAnsi="Titillium Web"/>
                <w:i/>
                <w:iCs/>
                <w:szCs w:val="24"/>
              </w:rPr>
              <w:t>fem.le ?</w:t>
            </w:r>
            <w:proofErr w:type="gramEnd"/>
            <w:r w:rsidRPr="00A43D32">
              <w:rPr>
                <w:rFonts w:ascii="Titillium Web" w:hAnsi="Titillium Web"/>
                <w:i/>
                <w:iCs/>
                <w:szCs w:val="24"/>
              </w:rPr>
              <w:t xml:space="preserve"> e di contro, un mostro con figura leonina e con ali, che si avventa verso i cavalli</w:t>
            </w:r>
          </w:p>
          <w:p w14:paraId="4E6D1578" w14:textId="77777777" w:rsidR="00C80458" w:rsidRPr="00A43D32" w:rsidRDefault="003D2D23">
            <w:pPr>
              <w:rPr>
                <w:rFonts w:ascii="Titillium Web" w:hAnsi="Titillium Web"/>
                <w:i/>
                <w:iCs/>
                <w:szCs w:val="24"/>
              </w:rPr>
            </w:pPr>
            <w:r w:rsidRPr="00A43D32">
              <w:rPr>
                <w:rFonts w:ascii="Titillium Web" w:hAnsi="Titillium Web"/>
                <w:i/>
                <w:iCs/>
                <w:szCs w:val="24"/>
              </w:rPr>
              <w:t>Le concrezioni non permettono di vedere di più.</w:t>
            </w:r>
          </w:p>
        </w:tc>
      </w:tr>
      <w:tr w:rsidR="0086297F" w:rsidRPr="00A43D32" w14:paraId="1429C2F3" w14:textId="77777777" w:rsidTr="002665C6">
        <w:trPr>
          <w:jc w:val="center"/>
        </w:trPr>
        <w:tc>
          <w:tcPr>
            <w:tcW w:w="1650" w:type="pct"/>
            <w:vAlign w:val="center"/>
          </w:tcPr>
          <w:p w14:paraId="7F398080"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lastRenderedPageBreak/>
              <w:t>Posizione del corredo</w:t>
            </w:r>
          </w:p>
        </w:tc>
        <w:tc>
          <w:tcPr>
            <w:tcW w:w="3350" w:type="pct"/>
            <w:vAlign w:val="center"/>
          </w:tcPr>
          <w:p w14:paraId="5C03ADA7" w14:textId="65BE8EBA" w:rsidR="0086297F" w:rsidRPr="00A43D32" w:rsidRDefault="006C2576" w:rsidP="002665C6">
            <w:pPr>
              <w:jc w:val="center"/>
              <w:rPr>
                <w:rFonts w:ascii="Titillium Web" w:hAnsi="Titillium Web"/>
                <w:szCs w:val="24"/>
              </w:rPr>
            </w:pPr>
            <w:r w:rsidRPr="006C2576">
              <w:rPr>
                <w:rFonts w:ascii="Titillium Web" w:hAnsi="Titillium Web"/>
                <w:szCs w:val="24"/>
              </w:rPr>
              <w:t>In gruppo/i attorno ai resti</w:t>
            </w:r>
          </w:p>
        </w:tc>
      </w:tr>
      <w:tr w:rsidR="0086297F" w:rsidRPr="00A43D32" w14:paraId="71A0E4AF" w14:textId="77777777" w:rsidTr="002665C6">
        <w:trPr>
          <w:jc w:val="center"/>
        </w:trPr>
        <w:tc>
          <w:tcPr>
            <w:tcW w:w="1650" w:type="pct"/>
            <w:vAlign w:val="center"/>
          </w:tcPr>
          <w:p w14:paraId="2128B19B"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Genere (legato all’analisi del corredo)</w:t>
            </w:r>
          </w:p>
        </w:tc>
        <w:tc>
          <w:tcPr>
            <w:tcW w:w="3350" w:type="pct"/>
            <w:vAlign w:val="center"/>
          </w:tcPr>
          <w:p w14:paraId="31324C2B" w14:textId="4E55E405" w:rsidR="0086297F" w:rsidRPr="00A43D32" w:rsidRDefault="0086297F" w:rsidP="002665C6">
            <w:pPr>
              <w:jc w:val="center"/>
              <w:rPr>
                <w:rFonts w:ascii="Titillium Web" w:hAnsi="Titillium Web"/>
                <w:szCs w:val="24"/>
              </w:rPr>
            </w:pPr>
            <w:r w:rsidRPr="00A43D32">
              <w:rPr>
                <w:rFonts w:ascii="Titillium Web" w:hAnsi="Titillium Web"/>
                <w:szCs w:val="24"/>
              </w:rPr>
              <w:t>Non determinabile</w:t>
            </w:r>
          </w:p>
        </w:tc>
      </w:tr>
      <w:tr w:rsidR="0086297F" w:rsidRPr="00A43D32" w14:paraId="17633947" w14:textId="77777777" w:rsidTr="002665C6">
        <w:trPr>
          <w:jc w:val="center"/>
        </w:trPr>
        <w:tc>
          <w:tcPr>
            <w:tcW w:w="1650" w:type="pct"/>
            <w:vAlign w:val="center"/>
          </w:tcPr>
          <w:p w14:paraId="44721053"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Sesso (legato alle analisi antropologiche)</w:t>
            </w:r>
          </w:p>
        </w:tc>
        <w:tc>
          <w:tcPr>
            <w:tcW w:w="3350" w:type="pct"/>
            <w:vAlign w:val="center"/>
          </w:tcPr>
          <w:p w14:paraId="66E918A4" w14:textId="50197FF0" w:rsidR="0086297F" w:rsidRPr="00A43D32" w:rsidRDefault="0086297F" w:rsidP="002665C6">
            <w:pPr>
              <w:jc w:val="center"/>
              <w:rPr>
                <w:rFonts w:ascii="Titillium Web" w:hAnsi="Titillium Web"/>
                <w:szCs w:val="24"/>
              </w:rPr>
            </w:pPr>
            <w:r w:rsidRPr="00A43D32">
              <w:rPr>
                <w:rFonts w:ascii="Titillium Web" w:hAnsi="Titillium Web"/>
                <w:szCs w:val="24"/>
              </w:rPr>
              <w:t>Non determinabile</w:t>
            </w:r>
          </w:p>
        </w:tc>
      </w:tr>
      <w:tr w:rsidR="0086297F" w:rsidRPr="00A43D32" w14:paraId="0588946D" w14:textId="77777777" w:rsidTr="002665C6">
        <w:trPr>
          <w:jc w:val="center"/>
        </w:trPr>
        <w:tc>
          <w:tcPr>
            <w:tcW w:w="1650" w:type="pct"/>
            <w:vAlign w:val="center"/>
          </w:tcPr>
          <w:p w14:paraId="54990945"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Classi di età</w:t>
            </w:r>
          </w:p>
        </w:tc>
        <w:tc>
          <w:tcPr>
            <w:tcW w:w="3350" w:type="pct"/>
            <w:vAlign w:val="center"/>
          </w:tcPr>
          <w:p w14:paraId="0E0589EA" w14:textId="7D4DF825" w:rsidR="0086297F" w:rsidRPr="00A43D32" w:rsidRDefault="0086297F" w:rsidP="002665C6">
            <w:pPr>
              <w:jc w:val="center"/>
              <w:rPr>
                <w:rFonts w:ascii="Titillium Web" w:hAnsi="Titillium Web"/>
                <w:szCs w:val="24"/>
              </w:rPr>
            </w:pPr>
            <w:proofErr w:type="gramStart"/>
            <w:r w:rsidRPr="00A43D32">
              <w:rPr>
                <w:rFonts w:ascii="Titillium Web" w:hAnsi="Titillium Web"/>
                <w:szCs w:val="24"/>
              </w:rPr>
              <w:t>Adulto ?</w:t>
            </w:r>
            <w:proofErr w:type="gramEnd"/>
          </w:p>
        </w:tc>
      </w:tr>
      <w:tr w:rsidR="0086297F" w:rsidRPr="00A43D32" w14:paraId="1FFA88A1" w14:textId="77777777" w:rsidTr="002665C6">
        <w:trPr>
          <w:jc w:val="center"/>
        </w:trPr>
        <w:tc>
          <w:tcPr>
            <w:tcW w:w="1650" w:type="pct"/>
            <w:vAlign w:val="center"/>
          </w:tcPr>
          <w:p w14:paraId="63B2D8D6" w14:textId="77777777" w:rsidR="0086297F" w:rsidRPr="00A43D32" w:rsidRDefault="0086297F" w:rsidP="002665C6">
            <w:pPr>
              <w:jc w:val="center"/>
              <w:rPr>
                <w:rFonts w:ascii="Titillium Web" w:hAnsi="Titillium Web"/>
                <w:smallCaps/>
                <w:szCs w:val="24"/>
              </w:rPr>
            </w:pPr>
            <w:r w:rsidRPr="00A43D32">
              <w:rPr>
                <w:rFonts w:ascii="Titillium Web" w:hAnsi="Titillium Web"/>
                <w:smallCaps/>
                <w:szCs w:val="24"/>
              </w:rPr>
              <w:t>Bibliografia essenziale</w:t>
            </w:r>
          </w:p>
        </w:tc>
        <w:tc>
          <w:tcPr>
            <w:tcW w:w="3350" w:type="pct"/>
            <w:vAlign w:val="center"/>
          </w:tcPr>
          <w:p w14:paraId="49DD80D9" w14:textId="266254F5" w:rsidR="00C80458" w:rsidRPr="00A43D32" w:rsidRDefault="00B04701" w:rsidP="00B04701">
            <w:pPr>
              <w:jc w:val="center"/>
              <w:rPr>
                <w:rFonts w:ascii="Titillium Web" w:hAnsi="Titillium Web"/>
                <w:szCs w:val="24"/>
              </w:rPr>
            </w:pPr>
            <w:r w:rsidRPr="00B04701">
              <w:rPr>
                <w:rFonts w:ascii="Titillium Web" w:eastAsia="Titillium" w:hAnsi="Titillium Web" w:cs="Titillium"/>
                <w:smallCaps/>
                <w:szCs w:val="24"/>
              </w:rPr>
              <w:t>Massei</w:t>
            </w:r>
            <w:r w:rsidRPr="00B04701">
              <w:rPr>
                <w:rFonts w:ascii="Titillium Web" w:eastAsia="Titillium" w:hAnsi="Titillium Web" w:cs="Titillium"/>
                <w:szCs w:val="24"/>
              </w:rPr>
              <w:t xml:space="preserve"> 1978, pp. 90-92, tav. XXIII, nn. 1-2; </w:t>
            </w:r>
            <w:r w:rsidRPr="00B04701">
              <w:rPr>
                <w:rFonts w:ascii="Titillium Web" w:eastAsia="Titillium" w:hAnsi="Titillium Web" w:cs="Titillium"/>
                <w:smallCaps/>
                <w:szCs w:val="24"/>
              </w:rPr>
              <w:t>Desantis</w:t>
            </w:r>
            <w:r w:rsidRPr="00B04701">
              <w:rPr>
                <w:rFonts w:ascii="Titillium Web" w:eastAsia="Titillium" w:hAnsi="Titillium Web" w:cs="Titillium"/>
                <w:szCs w:val="24"/>
              </w:rPr>
              <w:t xml:space="preserve"> 1993b, pp. 308-309, 310-312, nn. 543-573; </w:t>
            </w:r>
            <w:r w:rsidRPr="00B04701">
              <w:rPr>
                <w:rFonts w:ascii="Titillium Web" w:eastAsia="Titillium" w:hAnsi="Titillium Web" w:cs="Titillium"/>
                <w:smallCaps/>
                <w:szCs w:val="24"/>
              </w:rPr>
              <w:t>Pozzi</w:t>
            </w:r>
            <w:r w:rsidRPr="00B04701">
              <w:rPr>
                <w:rFonts w:ascii="Titillium Web" w:eastAsia="Titillium" w:hAnsi="Titillium Web" w:cs="Titillium"/>
                <w:szCs w:val="24"/>
              </w:rPr>
              <w:t xml:space="preserve"> 2011; </w:t>
            </w:r>
            <w:r w:rsidRPr="00B04701">
              <w:rPr>
                <w:rFonts w:ascii="Titillium Web" w:eastAsia="Titillium" w:hAnsi="Titillium Web" w:cs="Titillium"/>
                <w:smallCaps/>
                <w:szCs w:val="24"/>
              </w:rPr>
              <w:t>Trevisanello</w:t>
            </w:r>
            <w:r w:rsidRPr="00B04701">
              <w:rPr>
                <w:rFonts w:ascii="Titillium Web" w:eastAsia="Titillium" w:hAnsi="Titillium Web" w:cs="Titillium"/>
                <w:szCs w:val="24"/>
              </w:rPr>
              <w:t xml:space="preserve"> in </w:t>
            </w:r>
            <w:r w:rsidRPr="00B04701">
              <w:rPr>
                <w:rFonts w:ascii="Titillium Web" w:eastAsia="Titillium" w:hAnsi="Titillium Web" w:cs="Titillium"/>
                <w:i/>
                <w:iCs/>
                <w:szCs w:val="24"/>
              </w:rPr>
              <w:t>Spina</w:t>
            </w:r>
            <w:r w:rsidRPr="00B04701">
              <w:rPr>
                <w:rFonts w:ascii="Titillium Web" w:eastAsia="Titillium" w:hAnsi="Titillium Web" w:cs="Titillium"/>
                <w:szCs w:val="24"/>
              </w:rPr>
              <w:t xml:space="preserve"> 2023, p. 291; </w:t>
            </w:r>
            <w:r w:rsidRPr="00B04701">
              <w:rPr>
                <w:rFonts w:ascii="Titillium Web" w:eastAsia="Titillium" w:hAnsi="Titillium Web" w:cs="Titillium"/>
                <w:smallCaps/>
                <w:szCs w:val="24"/>
              </w:rPr>
              <w:t>Trevisanello</w:t>
            </w:r>
            <w:r w:rsidRPr="00B04701">
              <w:rPr>
                <w:rFonts w:ascii="Titillium Web" w:eastAsia="Titillium" w:hAnsi="Titillium Web" w:cs="Titillium"/>
                <w:szCs w:val="24"/>
              </w:rPr>
              <w:t xml:space="preserve"> 2024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C2576"/>
    <w:rsid w:val="006D6EFB"/>
    <w:rsid w:val="007145BC"/>
    <w:rsid w:val="007F2098"/>
    <w:rsid w:val="0086297F"/>
    <w:rsid w:val="009E4922"/>
    <w:rsid w:val="00A13D30"/>
    <w:rsid w:val="00A43D32"/>
    <w:rsid w:val="00AB321D"/>
    <w:rsid w:val="00B04701"/>
    <w:rsid w:val="00B165C4"/>
    <w:rsid w:val="00C21EE0"/>
    <w:rsid w:val="00C80458"/>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2026-05-15T09:53:00Z</dcterms:modified>
</cp:coreProperties>
</file>