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F33A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CF33A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F33A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F33A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F33A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CF33A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F33A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F33A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F33A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48C195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Tomba 1133 a cremazione</w:t>
            </w:r>
          </w:p>
          <w:p w14:paraId="6C376185" w14:textId="77777777" w:rsidR="00394C8D" w:rsidRPr="00CF33AB" w:rsidRDefault="00394C8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3A516D7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Più lo scavo si avvicina alla provinciale, e più le tracce del saccheggio delle tombe si fa più intenso. Ovunque si notano macchie di bronzo, dalle quali non si raccoglie il minimo frustolo di oggetto; ovunque frammenti di tazzette a vern. nera, o cocci rozzi e senza vernice e ossa umane sconvolte.</w:t>
            </w:r>
          </w:p>
          <w:p w14:paraId="0F6A02C3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Questa devastazione non è tutta moderna, ma in gran parte antica.</w:t>
            </w:r>
          </w:p>
          <w:p w14:paraId="70F89F58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Le buche del saccheggio recente sono riempite di terreno buttato in tutti i sensi e il terreno stesso è abbastanza soffici al lavoro della mazza: invece per tutta la gran parte della trincea di scavo, gli strati del terreno sopra il piano antico, sono a posto, il che vuol dire che si sono formati lentamente coi secolo dopo che gli stessi antichi, forse per necessità di ingrandire il loro cimitero, avevano già manomesse le loro tombe precedenti.</w:t>
            </w:r>
          </w:p>
          <w:p w14:paraId="0D05EF21" w14:textId="77777777" w:rsidR="00394C8D" w:rsidRPr="00CF33AB" w:rsidRDefault="00394C8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7B377B7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A m 12,80 dalla cardinale…...a m 32,00 a sud del decumano (23 giugno corr.) e a m 1,30 di profondità poggia:</w:t>
            </w:r>
          </w:p>
          <w:p w14:paraId="7B048031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1 dolietto di forma sferoidale, di argilla cenerognola, grezzo, completamente marcito. È schiacciato come una fritella.</w:t>
            </w:r>
          </w:p>
          <w:p w14:paraId="76B6DA66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Entro al dolio erano poche ossa combuste. Il dolio era coperto sulla bocca, da</w:t>
            </w:r>
          </w:p>
          <w:p w14:paraId="5FE56BF8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t>1 ciotola di argilla giallastra di rilevante spessore, ben cotta e intera.</w:t>
            </w:r>
          </w:p>
          <w:p w14:paraId="7F6BFF1A" w14:textId="77777777" w:rsidR="00394C8D" w:rsidRPr="00CF33AB" w:rsidRDefault="00D528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3AB">
              <w:rPr>
                <w:rFonts w:ascii="Titillium Web" w:hAnsi="Titillium Web"/>
                <w:i/>
                <w:iCs/>
                <w:szCs w:val="24"/>
              </w:rPr>
              <w:lastRenderedPageBreak/>
              <w:t>E una di quelle ciotole coperchio con grosso e largo bordo e con piede a listello come una tazza.</w:t>
            </w:r>
          </w:p>
        </w:tc>
      </w:tr>
      <w:tr w:rsidR="0086297F" w:rsidRPr="00CF33A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F33A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F33A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F33A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F33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F33A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F33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3A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268BDE" w14:textId="77777777" w:rsidR="00394C8D" w:rsidRPr="00CF33AB" w:rsidRDefault="00D52849" w:rsidP="00CF33AB">
            <w:pPr>
              <w:jc w:val="center"/>
              <w:rPr>
                <w:rFonts w:ascii="Titillium Web" w:hAnsi="Titillium Web"/>
                <w:szCs w:val="24"/>
              </w:rPr>
            </w:pPr>
            <w:r w:rsidRPr="00CF33A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F33A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4C8D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81041"/>
    <w:rsid w:val="00CF33A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2026-05-13T20:56:00Z</dcterms:modified>
</cp:coreProperties>
</file>