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C547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7C547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C547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C547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C547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7C547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hAnsi="Titillium Web"/>
                <w:szCs w:val="24"/>
              </w:rPr>
              <w:t>2,3x1,9</w:t>
            </w:r>
          </w:p>
        </w:tc>
      </w:tr>
      <w:tr w:rsidR="0086297F" w:rsidRPr="007C547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C547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C547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35D8299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Tomba 1141 a umazione</w:t>
            </w:r>
          </w:p>
          <w:p w14:paraId="3567D716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con cassa e travi di legno</w:t>
            </w:r>
          </w:p>
          <w:p w14:paraId="6BB346F9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completamente saccheggiata-</w:t>
            </w:r>
          </w:p>
          <w:p w14:paraId="57B6B272" w14:textId="77777777" w:rsidR="009B0CAD" w:rsidRPr="007C5475" w:rsidRDefault="009B0CAD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6E8A026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 xml:space="preserve">A m 18,20 a lev. della </w:t>
            </w:r>
            <w:proofErr w:type="gramStart"/>
            <w:r w:rsidRPr="007C5475">
              <w:rPr>
                <w:rFonts w:ascii="Titillium Web" w:hAnsi="Titillium Web"/>
                <w:i/>
                <w:iCs/>
                <w:szCs w:val="24"/>
              </w:rPr>
              <w:t>cardinale….</w:t>
            </w:r>
            <w:proofErr w:type="gramEnd"/>
            <w:r w:rsidRPr="007C5475">
              <w:rPr>
                <w:rFonts w:ascii="Titillium Web" w:hAnsi="Titillium Web"/>
                <w:i/>
                <w:iCs/>
                <w:szCs w:val="24"/>
              </w:rPr>
              <w:t>. a m 42,60 a sud del decumano (23 giugno) è il centro di una tomba con travi di legno, che posava alla profondità di m 1,30 dal piano attuale di campagna. L’orientazione dei travi lunghi (giacché lo scheletro era completamente scomposto) è nord - ovest e sud - est (gradi 280 circa)</w:t>
            </w:r>
          </w:p>
          <w:p w14:paraId="75549862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I tronchi sono assai grossi, sebbene molto marciti, i lunghi misurano m 2,30 circa e sono distanti fra loro 1,90 circa.</w:t>
            </w:r>
          </w:p>
          <w:p w14:paraId="4966EBDA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Ossa dello scheletro e materiale fittile e bronzeo è tutto sconvolto, solo sembra che il cranio sia al suo posto e dietro al cranio (alla destra) è</w:t>
            </w:r>
          </w:p>
          <w:p w14:paraId="0C72D49A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1 raffo di bronzo a 4 branche per le candele, sormontato da un tubercolo di piombo ossidato con un</w:t>
            </w:r>
          </w:p>
          <w:p w14:paraId="2C52D996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1 collarino cappello che si trova abitualmente in tutti i candelabri</w:t>
            </w:r>
          </w:p>
          <w:p w14:paraId="01720778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Del resto del candelabro nessuna traccia.</w:t>
            </w:r>
          </w:p>
          <w:p w14:paraId="0E952E02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Nell’angolo nord - ovest della tomba, si rinvenne:</w:t>
            </w:r>
          </w:p>
          <w:p w14:paraId="0C12CB09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1 oinochoe di forma ovoidale, a bocca trilobata con vern. nera a figure maschili nude. Scene di palestra: è di disegno discreto e intero</w:t>
            </w:r>
          </w:p>
          <w:p w14:paraId="4803E21C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Lungo il trave lungo di nord, si rinvennero</w:t>
            </w:r>
          </w:p>
          <w:p w14:paraId="58063974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C5475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7C5475">
              <w:rPr>
                <w:rFonts w:ascii="Titillium Web" w:hAnsi="Titillium Web"/>
                <w:i/>
                <w:iCs/>
                <w:szCs w:val="24"/>
              </w:rPr>
              <w:t xml:space="preserve"> piattelli o tazze ad alto piede, a vern. nera con un giro di foglie in rosso risparmiato, nel medaglione (uno è intero, l’altro è frammentato nell’orlo, ma restaurabile per intero.</w:t>
            </w:r>
          </w:p>
          <w:p w14:paraId="01D7013E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Sparsi ovunque, assieme alle ossa si raccolsero:</w:t>
            </w:r>
          </w:p>
          <w:p w14:paraId="305762CB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Pochi frammenti di una kelebe a fig. rosse</w:t>
            </w:r>
          </w:p>
          <w:p w14:paraId="2375D33A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Un solo frammento figurato con testa di uomo (forse della scena del rovescio) si raccolse e questo è di disegno inabile e strapazzato.</w:t>
            </w:r>
          </w:p>
          <w:p w14:paraId="7A351B81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1 tazza ad alto piede, a vern. n. diluita, con impressioni di ovuli nell’interno: intera</w:t>
            </w:r>
          </w:p>
          <w:p w14:paraId="626D0FFC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 xml:space="preserve">1 coppina ad alto piede, a vern. nera, con il pieduccio rotto in </w:t>
            </w:r>
            <w:proofErr w:type="gramStart"/>
            <w:r w:rsidRPr="007C5475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7C5475">
              <w:rPr>
                <w:rFonts w:ascii="Titillium Web" w:hAnsi="Titillium Web"/>
                <w:i/>
                <w:iCs/>
                <w:szCs w:val="24"/>
              </w:rPr>
              <w:t xml:space="preserve"> pezzi</w:t>
            </w:r>
          </w:p>
          <w:p w14:paraId="0D0B1496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1 balsamario di alabastro, tipo alabastron in minuti frammeti</w:t>
            </w:r>
          </w:p>
          <w:p w14:paraId="7D217064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C5475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7C5475">
              <w:rPr>
                <w:rFonts w:ascii="Titillium Web" w:hAnsi="Titillium Web"/>
                <w:i/>
                <w:iCs/>
                <w:szCs w:val="24"/>
              </w:rPr>
              <w:t xml:space="preserve"> pastiglie di vetro bleu, con occhietti di pernice incavati che dovevano anticamente essere pieni di una pasta colorata (smalto) ora scomparsa</w:t>
            </w:r>
          </w:p>
          <w:p w14:paraId="06E1AB7C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1 oggetto di osso, simile ad una asticella o cordone attorcigliato e gradatamente assotigliantesi: è rotto in due pezzi e intero misura m 0,195</w:t>
            </w:r>
          </w:p>
          <w:p w14:paraId="1A7C70F7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Nella parte bassa, del maggior ingrossamento, conserva uno spuntone che doveva certamente ricevere o un manichetto o quale altro accessorio del quale momentaneamente sfugge l’uso</w:t>
            </w:r>
          </w:p>
          <w:p w14:paraId="3306810F" w14:textId="77777777" w:rsidR="009B0CAD" w:rsidRPr="007C5475" w:rsidRDefault="00FE5F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5475">
              <w:rPr>
                <w:rFonts w:ascii="Titillium Web" w:hAnsi="Titillium Web"/>
                <w:i/>
                <w:iCs/>
                <w:szCs w:val="24"/>
              </w:rPr>
              <w:t>Si raccolsero alcune valve di ostriche che non si può assicurare facessero parte delle suppellettili</w:t>
            </w:r>
          </w:p>
        </w:tc>
      </w:tr>
      <w:tr w:rsidR="0086297F" w:rsidRPr="007C547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7C547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C5475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7C547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C547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C54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7C547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C54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547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B91E150" w14:textId="77777777" w:rsidR="009B0CAD" w:rsidRPr="007C5475" w:rsidRDefault="00FE5F38" w:rsidP="007C5475">
            <w:pPr>
              <w:jc w:val="center"/>
              <w:rPr>
                <w:rFonts w:ascii="Titillium Web" w:hAnsi="Titillium Web"/>
                <w:szCs w:val="24"/>
              </w:rPr>
            </w:pPr>
            <w:r w:rsidRPr="007C5475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7C5475">
              <w:rPr>
                <w:rFonts w:ascii="Titillium Web" w:eastAsia="Titillium" w:hAnsi="Titillium Web" w:cs="Titillium"/>
                <w:szCs w:val="24"/>
              </w:rPr>
              <w:t xml:space="preserve"> 1940, p. 329; </w:t>
            </w:r>
            <w:r w:rsidRPr="007C5475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7C5475">
              <w:rPr>
                <w:rFonts w:ascii="Titillium Web" w:eastAsia="Titillium" w:hAnsi="Titillium Web" w:cs="Titillium"/>
                <w:szCs w:val="24"/>
              </w:rPr>
              <w:t xml:space="preserve"> 1993, p. 38; </w:t>
            </w:r>
            <w:r w:rsidRPr="007C5475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C5475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81508"/>
    <w:rsid w:val="00551AF8"/>
    <w:rsid w:val="005B5AFF"/>
    <w:rsid w:val="006162A4"/>
    <w:rsid w:val="006346F7"/>
    <w:rsid w:val="006D6EFB"/>
    <w:rsid w:val="007145BC"/>
    <w:rsid w:val="007C5475"/>
    <w:rsid w:val="0086297F"/>
    <w:rsid w:val="009B0CAD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2026-05-13T20:53:00Z</dcterms:modified>
</cp:coreProperties>
</file>