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D2C0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5D2C0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D2C0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D2C0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D2C0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5D2C0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D2C0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D2C0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D2C0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B4697D" w14:textId="77777777" w:rsidR="00127A87" w:rsidRPr="005D2C0C" w:rsidRDefault="009E7E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2C0C">
              <w:rPr>
                <w:rFonts w:ascii="Titillium Web" w:hAnsi="Titillium Web"/>
                <w:i/>
                <w:iCs/>
                <w:szCs w:val="24"/>
              </w:rPr>
              <w:t>Tomba 1143 a cremazione</w:t>
            </w:r>
          </w:p>
          <w:p w14:paraId="7A3FCA21" w14:textId="77777777" w:rsidR="00127A87" w:rsidRPr="005D2C0C" w:rsidRDefault="009E7E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2C0C">
              <w:rPr>
                <w:rFonts w:ascii="Titillium Web" w:hAnsi="Titillium Web"/>
                <w:i/>
                <w:iCs/>
                <w:szCs w:val="24"/>
              </w:rPr>
              <w:t>A m 27 a lev. della cardinale... a m 44,40 a sud del decumano (23 giugno) a m 0,98 di profondità poggiava:</w:t>
            </w:r>
          </w:p>
          <w:p w14:paraId="7C3A5F80" w14:textId="77777777" w:rsidR="00127A87" w:rsidRPr="005D2C0C" w:rsidRDefault="009E7E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2C0C">
              <w:rPr>
                <w:rFonts w:ascii="Titillium Web" w:hAnsi="Titillium Web"/>
                <w:i/>
                <w:iCs/>
                <w:szCs w:val="24"/>
              </w:rPr>
              <w:t>1 dolio di discreta grandezza, di forma ovoidale di argilla giallastra e ben cotta, grezzo e intero</w:t>
            </w:r>
          </w:p>
          <w:p w14:paraId="666EBA18" w14:textId="77777777" w:rsidR="00127A87" w:rsidRPr="005D2C0C" w:rsidRDefault="009E7E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2C0C">
              <w:rPr>
                <w:rFonts w:ascii="Titillium Web" w:hAnsi="Titillium Web"/>
                <w:i/>
                <w:iCs/>
                <w:szCs w:val="24"/>
              </w:rPr>
              <w:t>Entro al dolio erano le ossa combuste e fuori del dolio (dalla parte sud) era</w:t>
            </w:r>
          </w:p>
          <w:p w14:paraId="40E609A7" w14:textId="77777777" w:rsidR="00127A87" w:rsidRPr="005D2C0C" w:rsidRDefault="009E7E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2C0C">
              <w:rPr>
                <w:rFonts w:ascii="Titillium Web" w:hAnsi="Titillium Web"/>
                <w:i/>
                <w:iCs/>
                <w:szCs w:val="24"/>
              </w:rPr>
              <w:t>1 oinochoe di forma ovoidale, con bocca trilobata, a figure rosse su fondo nero. Ha il collo staccato e il lobo centrale della bocca leggermente frammentario. Nel davanti del vaso, scene di palestra: un giovane ignudo fra due persone ammantate. Disegno strapazzato,</w:t>
            </w:r>
          </w:p>
          <w:p w14:paraId="540D2AD3" w14:textId="77777777" w:rsidR="00127A87" w:rsidRPr="005D2C0C" w:rsidRDefault="009E7E6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2C0C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5D2C0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5D2C0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2C0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2C0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D2C0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2C0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D2C0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2C0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30D4B8" w14:textId="77777777" w:rsidR="00127A87" w:rsidRPr="005D2C0C" w:rsidRDefault="009E7E6F" w:rsidP="005D2C0C">
            <w:pPr>
              <w:jc w:val="center"/>
              <w:rPr>
                <w:rFonts w:ascii="Titillium Web" w:hAnsi="Titillium Web"/>
                <w:szCs w:val="24"/>
              </w:rPr>
            </w:pPr>
            <w:r w:rsidRPr="005D2C0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D2C0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7A87"/>
    <w:rsid w:val="001C17CC"/>
    <w:rsid w:val="002977D7"/>
    <w:rsid w:val="00472AF4"/>
    <w:rsid w:val="00551AF8"/>
    <w:rsid w:val="005A1248"/>
    <w:rsid w:val="005B5AFF"/>
    <w:rsid w:val="005D2C0C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2026-05-13T20:51:00Z</dcterms:modified>
</cp:coreProperties>
</file>