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1147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6161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616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161D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C6161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616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161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6161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616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161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6161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616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161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6161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616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161D">
              <w:rPr>
                <w:rFonts w:ascii="Titillium Web" w:hAnsi="Titillium Web"/>
                <w:szCs w:val="24"/>
              </w:rPr>
              <w:t>1,32 m</w:t>
            </w:r>
          </w:p>
        </w:tc>
      </w:tr>
      <w:tr w:rsidR="0086297F" w:rsidRPr="00C6161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616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161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6161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616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161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6161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616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161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6161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554F3CA" w14:textId="77777777" w:rsidR="00C4358F" w:rsidRPr="00C6161D" w:rsidRDefault="003C52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161D">
              <w:rPr>
                <w:rFonts w:ascii="Titillium Web" w:hAnsi="Titillium Web"/>
                <w:i/>
                <w:iCs/>
                <w:szCs w:val="24"/>
              </w:rPr>
              <w:t>Tomba 1147 a cremazione</w:t>
            </w:r>
          </w:p>
          <w:p w14:paraId="57197AAD" w14:textId="77777777" w:rsidR="00C4358F" w:rsidRPr="00C6161D" w:rsidRDefault="003C52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161D">
              <w:rPr>
                <w:rFonts w:ascii="Titillium Web" w:hAnsi="Titillium Web"/>
                <w:i/>
                <w:iCs/>
                <w:szCs w:val="24"/>
              </w:rPr>
              <w:t>A m 1,20 circa di distanza a lev. del trave lungo (marcito e spezzato) di nord della tomba precedente, a m 1,00 più a nord (m 47 dal decumano) si rinviene a m 1,32 di profondità una tomba a cremazione.</w:t>
            </w:r>
          </w:p>
          <w:p w14:paraId="07842714" w14:textId="77777777" w:rsidR="00C4358F" w:rsidRPr="00C6161D" w:rsidRDefault="003C52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161D">
              <w:rPr>
                <w:rFonts w:ascii="Titillium Web" w:hAnsi="Titillium Web"/>
                <w:i/>
                <w:iCs/>
                <w:szCs w:val="24"/>
              </w:rPr>
              <w:t>Le ceneri sono posate sulla nuda terra (almeno non si riscontra traccia alcuna di avanzi legnosi, durante lo scavo) in un mucchietto a sud del quale erano disposti i seguenti oggetti:</w:t>
            </w:r>
          </w:p>
          <w:p w14:paraId="73DBD0C7" w14:textId="77777777" w:rsidR="00C4358F" w:rsidRPr="00C6161D" w:rsidRDefault="003C52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161D">
              <w:rPr>
                <w:rFonts w:ascii="Titillium Web" w:hAnsi="Titillium Web"/>
                <w:i/>
                <w:iCs/>
                <w:szCs w:val="24"/>
              </w:rPr>
              <w:t>1 oinochoe di forma ovoidale, con bocca trilobata, a vern. nera e con figure rosse su fondo nero.</w:t>
            </w:r>
          </w:p>
          <w:p w14:paraId="52E54A11" w14:textId="77777777" w:rsidR="00C4358F" w:rsidRPr="00C6161D" w:rsidRDefault="003C52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161D">
              <w:rPr>
                <w:rFonts w:ascii="Titillium Web" w:hAnsi="Titillium Web"/>
                <w:i/>
                <w:iCs/>
                <w:szCs w:val="24"/>
              </w:rPr>
              <w:t>Nella scena tre figure di disegno affrettato: nel mezzo figura femminile seduta a destra con testa rivolta a sin. verso un giovane ignudo che arriva correndo; a destra, altra figura femminile seduta. La figura femminile centrale doveva essere dipinta, poiché la argilla di tutta la figura non ha un segno o un dettagli o delle vesti o del viso: è intero</w:t>
            </w:r>
          </w:p>
          <w:p w14:paraId="41575E0B" w14:textId="77777777" w:rsidR="00C4358F" w:rsidRPr="00C6161D" w:rsidRDefault="003C52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161D">
              <w:rPr>
                <w:rFonts w:ascii="Titillium Web" w:hAnsi="Titillium Web"/>
                <w:i/>
                <w:iCs/>
                <w:szCs w:val="24"/>
              </w:rPr>
              <w:t>1 piatto ad alto piede, a vern. nera, liscio, è in frammenti dei quali parte mancano</w:t>
            </w:r>
          </w:p>
          <w:p w14:paraId="4FBFAD1A" w14:textId="77777777" w:rsidR="00C4358F" w:rsidRPr="00C6161D" w:rsidRDefault="003C52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161D">
              <w:rPr>
                <w:rFonts w:ascii="Titillium Web" w:hAnsi="Titillium Web"/>
                <w:i/>
                <w:iCs/>
                <w:szCs w:val="24"/>
              </w:rPr>
              <w:t>1 tazzina piccola, a vern. nera, apoda, con quattro palmette impresse nell’interno: intera.</w:t>
            </w:r>
          </w:p>
          <w:p w14:paraId="0760A7E0" w14:textId="77777777" w:rsidR="00C4358F" w:rsidRPr="00C6161D" w:rsidRDefault="003C52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161D">
              <w:rPr>
                <w:rFonts w:ascii="Titillium Web" w:hAnsi="Titillium Web"/>
                <w:i/>
                <w:iCs/>
                <w:szCs w:val="24"/>
              </w:rPr>
              <w:t>1 piccolo aryballos, a vern. nera con palmette è intero</w:t>
            </w:r>
          </w:p>
          <w:p w14:paraId="2214DF4B" w14:textId="77777777" w:rsidR="00C4358F" w:rsidRPr="00C6161D" w:rsidRDefault="003C52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161D">
              <w:rPr>
                <w:rFonts w:ascii="Titillium Web" w:hAnsi="Titillium Web"/>
                <w:i/>
                <w:iCs/>
                <w:szCs w:val="24"/>
              </w:rPr>
              <w:t>1 piattello apodo, di argilla giallo rossiccia, grezzo, intero.</w:t>
            </w:r>
          </w:p>
          <w:p w14:paraId="15C70C73" w14:textId="77777777" w:rsidR="00C4358F" w:rsidRPr="00C6161D" w:rsidRDefault="003C52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161D">
              <w:rPr>
                <w:rFonts w:ascii="Titillium Web" w:hAnsi="Titillium Web"/>
                <w:i/>
                <w:iCs/>
                <w:szCs w:val="24"/>
              </w:rPr>
              <w:t>Fra le ossa combuste si raccolse:</w:t>
            </w:r>
          </w:p>
          <w:p w14:paraId="10356734" w14:textId="77777777" w:rsidR="00C4358F" w:rsidRPr="00C6161D" w:rsidRDefault="003C52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161D">
              <w:rPr>
                <w:rFonts w:ascii="Titillium Web" w:hAnsi="Titillium Web"/>
                <w:i/>
                <w:iCs/>
                <w:szCs w:val="24"/>
              </w:rPr>
              <w:t>1 fibula di bronzo, tipo Certosa, con bottoncino terminale sulla staffa; è stampato all’ardiglione e conserva metà dell’ago.</w:t>
            </w:r>
          </w:p>
          <w:p w14:paraId="6BC4FE0B" w14:textId="77777777" w:rsidR="00C4358F" w:rsidRPr="00C6161D" w:rsidRDefault="003C52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161D">
              <w:rPr>
                <w:rFonts w:ascii="Titillium Web" w:hAnsi="Titillium Web"/>
                <w:i/>
                <w:iCs/>
                <w:szCs w:val="24"/>
              </w:rPr>
              <w:lastRenderedPageBreak/>
              <w:t>Queste tre tombe 1145 - 1146 - 1147 erano sepolte vicino l’una all’altra e quasi alla stessa profondità, e dimostrano come in questa località le tombe sepolte dovevano essere dense prima del saccheggio sia antico che moderno.</w:t>
            </w:r>
          </w:p>
        </w:tc>
      </w:tr>
      <w:tr w:rsidR="0086297F" w:rsidRPr="00C6161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616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161D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C6161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616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161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161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616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161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161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616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161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161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616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161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F52E91F" w14:textId="77777777" w:rsidR="00C4358F" w:rsidRPr="00C6161D" w:rsidRDefault="003C52DB" w:rsidP="00C6161D">
            <w:pPr>
              <w:jc w:val="center"/>
              <w:rPr>
                <w:rFonts w:ascii="Titillium Web" w:hAnsi="Titillium Web"/>
                <w:szCs w:val="24"/>
              </w:rPr>
            </w:pPr>
            <w:r w:rsidRPr="00C6161D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C6161D">
              <w:rPr>
                <w:rFonts w:ascii="Titillium Web" w:eastAsia="Titillium" w:hAnsi="Titillium Web" w:cs="Titillium"/>
                <w:szCs w:val="24"/>
              </w:rPr>
              <w:t xml:space="preserve"> 1940, p. 329; </w:t>
            </w:r>
            <w:r w:rsidRPr="00C6161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6161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637A5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4358F"/>
    <w:rsid w:val="00C6161D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2026-05-13T20:49:00Z</dcterms:modified>
</cp:coreProperties>
</file>