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4B0F2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4B0F2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4B0F2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4B0F2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4B0F2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1,20 m</w:t>
            </w:r>
          </w:p>
        </w:tc>
      </w:tr>
      <w:tr w:rsidR="001B5504" w:rsidRPr="004B0F2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4B0F2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6B263FCC" w:rsidR="001B5504" w:rsidRPr="004B0F20" w:rsidRDefault="004B0F2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B0F2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56A752A" w:rsidR="001B5504" w:rsidRPr="004B0F20" w:rsidRDefault="004B0F2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B0F2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4B0F2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56B3D41" w14:textId="77777777" w:rsidR="00536DF4" w:rsidRPr="004B0F20" w:rsidRDefault="00536DF4" w:rsidP="00536DF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>115 tomba &lt; a cremazione &gt;</w:t>
            </w:r>
          </w:p>
          <w:p w14:paraId="7E199ECE" w14:textId="563A454E" w:rsidR="00536DF4" w:rsidRPr="004B0F20" w:rsidRDefault="00536DF4" w:rsidP="00536DF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 xml:space="preserve">A m. 26 dal frumento e a m. 8 a lev. dell’asse del dosso, a m. 1,20 di profondità, si rinviene 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dolio grande 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>e grosse pareti, intero, di forma allungata, con due anse laterali nel rigonfio del ventre e di impasto locale grossolano color cenere – È alto m. 0,58.</w:t>
            </w:r>
          </w:p>
          <w:p w14:paraId="37EE4DE1" w14:textId="77777777" w:rsidR="00536DF4" w:rsidRPr="004B0F20" w:rsidRDefault="00536DF4" w:rsidP="00536DF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 xml:space="preserve">Il dolio era coperto da 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ciotola di terra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 xml:space="preserve"> rossa in frammenti, e fra le ceneri aveva:</w:t>
            </w:r>
          </w:p>
          <w:p w14:paraId="4C2E931E" w14:textId="77777777" w:rsidR="00536DF4" w:rsidRPr="004B0F20" w:rsidRDefault="00536DF4" w:rsidP="00536DF4">
            <w:pPr>
              <w:rPr>
                <w:rFonts w:ascii="Titillium Web" w:hAnsi="Titillium Web" w:cs="Times New Roman"/>
                <w:szCs w:val="24"/>
              </w:rPr>
            </w:pPr>
            <w:r w:rsidRPr="004B0F2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piccola lekytos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 xml:space="preserve"> con disegno di palmette incise a graffito e dipinte in nero – frammentata nell’ansa e bocchiolo.</w:t>
            </w:r>
          </w:p>
          <w:p w14:paraId="31CED2B2" w14:textId="77777777" w:rsidR="00536DF4" w:rsidRPr="004B0F20" w:rsidRDefault="00536DF4" w:rsidP="00536DF4">
            <w:pPr>
              <w:rPr>
                <w:rFonts w:ascii="Titillium Web" w:hAnsi="Titillium Web" w:cs="Times New Roman"/>
                <w:szCs w:val="24"/>
              </w:rPr>
            </w:pPr>
            <w:r w:rsidRPr="004B0F2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piattello di impasto 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>color cenere</w:t>
            </w:r>
          </w:p>
          <w:p w14:paraId="6675C69C" w14:textId="77777777" w:rsidR="00536DF4" w:rsidRPr="004B0F20" w:rsidRDefault="00536DF4" w:rsidP="00536DF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0F2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altro più piccolo 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>“ “</w:t>
            </w:r>
          </w:p>
          <w:p w14:paraId="4F51479B" w14:textId="77777777" w:rsidR="00536DF4" w:rsidRPr="004B0F20" w:rsidRDefault="00536DF4" w:rsidP="00536DF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0F2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pezzo di osso tubolare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>, levigato nella superficie esterna; è lungo cm. 2 ½</w:t>
            </w:r>
          </w:p>
          <w:p w14:paraId="1A6B7E7E" w14:textId="7C34E597" w:rsidR="001B5504" w:rsidRPr="004B0F20" w:rsidRDefault="00536DF4" w:rsidP="00536DF4">
            <w:pPr>
              <w:jc w:val="left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balsamario di pasta</w:t>
            </w:r>
            <w:r w:rsidRPr="004B0F20">
              <w:rPr>
                <w:rFonts w:ascii="Titillium Web" w:hAnsi="Titillium Web" w:cs="Times New Roman"/>
                <w:i/>
                <w:iCs/>
                <w:szCs w:val="24"/>
              </w:rPr>
              <w:t xml:space="preserve"> vitrea colori variegati, intero, a forma di anfora con un’ansa verticale – alto 0,085</w:t>
            </w:r>
          </w:p>
        </w:tc>
      </w:tr>
      <w:tr w:rsidR="001B5504" w:rsidRPr="004B0F2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0F28DAC" w14:textId="67B59C54" w:rsidR="001B5504" w:rsidRPr="004B0F20" w:rsidRDefault="00531526" w:rsidP="00531526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B0F20">
              <w:rPr>
                <w:rFonts w:ascii="Titillium Web" w:hAnsi="Titillium Web" w:cs="Times New Roman"/>
                <w:szCs w:val="24"/>
              </w:rPr>
              <w:t>I resti cremati del defunto erano conservati in un’olla di produzione locale in ceramica grezza (n. 1), coperta da un bacile-mortaio in ceramica depurata (n. 2). All’interno del cinerario era stato deposto il corredo, costituito da due balsamari, uno attico a f.n., l’altro in pasta vitrea, una coppia di piatti in ceramica depurata (nn. 4-5) ed un cilindro che apparteneva in origine ad una conocchia (n. 7). Rimane incerta la pertinenza del secondo piatto (n. 5).</w:t>
            </w:r>
          </w:p>
          <w:p w14:paraId="3A9A2DE2" w14:textId="2980834D" w:rsidR="000157D6" w:rsidRPr="004B0F20" w:rsidRDefault="000157D6" w:rsidP="000157D6">
            <w:pPr>
              <w:numPr>
                <w:ilvl w:val="0"/>
                <w:numId w:val="3"/>
              </w:num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 xml:space="preserve">Olla </w:t>
            </w:r>
            <w:r w:rsidR="00106544">
              <w:rPr>
                <w:rFonts w:ascii="Titillium Web" w:hAnsi="Titillium Web"/>
                <w:szCs w:val="24"/>
              </w:rPr>
              <w:t>di produzione locale</w:t>
            </w:r>
            <w:r w:rsidRPr="004B0F20">
              <w:rPr>
                <w:rFonts w:ascii="Titillium Web" w:hAnsi="Titillium Web"/>
                <w:szCs w:val="24"/>
              </w:rPr>
              <w:t xml:space="preserve"> (IG 133; ceramica grezza) </w:t>
            </w:r>
          </w:p>
          <w:p w14:paraId="47DF0EC4" w14:textId="3638290C" w:rsidR="000157D6" w:rsidRPr="004B0F20" w:rsidRDefault="000157D6" w:rsidP="000157D6">
            <w:pPr>
              <w:numPr>
                <w:ilvl w:val="0"/>
                <w:numId w:val="3"/>
              </w:num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lastRenderedPageBreak/>
              <w:t xml:space="preserve">Mortaio </w:t>
            </w:r>
            <w:r w:rsidR="00106544">
              <w:rPr>
                <w:rFonts w:ascii="Titillium Web" w:hAnsi="Titillium Web"/>
                <w:szCs w:val="24"/>
              </w:rPr>
              <w:t>di produzione locale</w:t>
            </w:r>
            <w:r w:rsidRPr="004B0F20">
              <w:rPr>
                <w:rFonts w:ascii="Titillium Web" w:hAnsi="Titillium Web"/>
                <w:szCs w:val="24"/>
              </w:rPr>
              <w:t xml:space="preserve"> (IG 44899; ceramica depurata) </w:t>
            </w:r>
          </w:p>
          <w:p w14:paraId="534662F9" w14:textId="35FC4216" w:rsidR="000157D6" w:rsidRPr="004B0F20" w:rsidRDefault="000157D6" w:rsidP="000157D6">
            <w:pPr>
              <w:numPr>
                <w:ilvl w:val="0"/>
                <w:numId w:val="3"/>
              </w:numPr>
              <w:jc w:val="center"/>
              <w:rPr>
                <w:rFonts w:ascii="Titillium Web" w:hAnsi="Titillium Web"/>
                <w:szCs w:val="24"/>
              </w:rPr>
            </w:pPr>
            <w:hyperlink r:id="rId5" w:history="1">
              <w:r w:rsidRPr="004B0F20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Lekythos cilindrica attica</w:t>
              </w:r>
            </w:hyperlink>
            <w:r w:rsidRPr="004B0F20">
              <w:rPr>
                <w:rFonts w:ascii="Titillium Web" w:hAnsi="Titillium Web"/>
                <w:szCs w:val="24"/>
              </w:rPr>
              <w:t xml:space="preserve"> (IG 211; figure nere) </w:t>
            </w:r>
          </w:p>
          <w:p w14:paraId="4E4FC844" w14:textId="6B1B0DE7" w:rsidR="000157D6" w:rsidRPr="004B0F20" w:rsidRDefault="000157D6" w:rsidP="000157D6">
            <w:pPr>
              <w:numPr>
                <w:ilvl w:val="0"/>
                <w:numId w:val="3"/>
              </w:num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 xml:space="preserve">Piatto </w:t>
            </w:r>
            <w:r w:rsidR="00106544">
              <w:rPr>
                <w:rFonts w:ascii="Titillium Web" w:hAnsi="Titillium Web"/>
                <w:szCs w:val="24"/>
              </w:rPr>
              <w:t>di produzione locale</w:t>
            </w:r>
            <w:r w:rsidR="00106544" w:rsidRPr="004B0F20">
              <w:rPr>
                <w:rFonts w:ascii="Titillium Web" w:hAnsi="Titillium Web"/>
                <w:szCs w:val="24"/>
              </w:rPr>
              <w:t xml:space="preserve"> </w:t>
            </w:r>
            <w:r w:rsidRPr="004B0F20">
              <w:rPr>
                <w:rFonts w:ascii="Titillium Web" w:hAnsi="Titillium Web"/>
                <w:szCs w:val="24"/>
              </w:rPr>
              <w:t xml:space="preserve">(IG 44898; ceramica grigia) </w:t>
            </w:r>
          </w:p>
          <w:p w14:paraId="65C2C26D" w14:textId="4DEAB190" w:rsidR="000157D6" w:rsidRPr="004B0F20" w:rsidRDefault="000157D6" w:rsidP="000157D6">
            <w:pPr>
              <w:numPr>
                <w:ilvl w:val="0"/>
                <w:numId w:val="3"/>
              </w:num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 xml:space="preserve">Piatto </w:t>
            </w:r>
            <w:r w:rsidR="00106544">
              <w:rPr>
                <w:rFonts w:ascii="Titillium Web" w:hAnsi="Titillium Web"/>
                <w:szCs w:val="24"/>
              </w:rPr>
              <w:t>di produzione locale</w:t>
            </w:r>
            <w:r w:rsidR="00106544" w:rsidRPr="004B0F20">
              <w:rPr>
                <w:rFonts w:ascii="Titillium Web" w:hAnsi="Titillium Web"/>
                <w:szCs w:val="24"/>
              </w:rPr>
              <w:t xml:space="preserve"> </w:t>
            </w:r>
            <w:r w:rsidRPr="004B0F20">
              <w:rPr>
                <w:rFonts w:ascii="Titillium Web" w:hAnsi="Titillium Web"/>
                <w:szCs w:val="24"/>
              </w:rPr>
              <w:t xml:space="preserve">(IG 44900; ceramica depurata) </w:t>
            </w:r>
          </w:p>
          <w:p w14:paraId="7BA9B4BF" w14:textId="77777777" w:rsidR="000157D6" w:rsidRPr="004B0F20" w:rsidRDefault="000157D6" w:rsidP="000157D6">
            <w:pPr>
              <w:numPr>
                <w:ilvl w:val="0"/>
                <w:numId w:val="3"/>
              </w:num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 xml:space="preserve">Oinochoe (IG 2023; pasta vitrea) </w:t>
            </w:r>
          </w:p>
          <w:p w14:paraId="5EE32F9C" w14:textId="6D21FB60" w:rsidR="000157D6" w:rsidRPr="004B0F20" w:rsidRDefault="000157D6" w:rsidP="0034604B">
            <w:pPr>
              <w:numPr>
                <w:ilvl w:val="0"/>
                <w:numId w:val="3"/>
              </w:num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 xml:space="preserve">Conocchia (IG 1066; osso) </w:t>
            </w:r>
          </w:p>
        </w:tc>
      </w:tr>
      <w:tr w:rsidR="001B5504" w:rsidRPr="004B0F2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6964D55" w:rsidR="001B5504" w:rsidRPr="004B0F20" w:rsidRDefault="004B0F2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4B0F2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5F2199AF" w:rsidR="001B5504" w:rsidRPr="004B0F20" w:rsidRDefault="004B0F2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B0F2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Femminile?</w:t>
            </w:r>
          </w:p>
        </w:tc>
      </w:tr>
      <w:tr w:rsidR="001B5504" w:rsidRPr="004B0F2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B0F2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B0F2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0F20">
              <w:rPr>
                <w:rFonts w:ascii="Titillium Web" w:hAnsi="Titillium Web"/>
                <w:szCs w:val="24"/>
              </w:rPr>
              <w:t>500-475 a.C.</w:t>
            </w:r>
          </w:p>
        </w:tc>
      </w:tr>
      <w:tr w:rsidR="001B5504" w:rsidRPr="004B0F2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FAAC9C3" w:rsidR="001B5504" w:rsidRPr="004B0F20" w:rsidRDefault="00106544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B0F2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4B0F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F2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4B0F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7F42"/>
    <w:multiLevelType w:val="multilevel"/>
    <w:tmpl w:val="B52A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1"/>
  </w:num>
  <w:num w:numId="2" w16cid:durableId="1139692260">
    <w:abstractNumId w:val="2"/>
  </w:num>
  <w:num w:numId="3" w16cid:durableId="92703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157D6"/>
    <w:rsid w:val="000D72F4"/>
    <w:rsid w:val="00106544"/>
    <w:rsid w:val="001B5504"/>
    <w:rsid w:val="001F2833"/>
    <w:rsid w:val="0024409E"/>
    <w:rsid w:val="0029024B"/>
    <w:rsid w:val="002977D7"/>
    <w:rsid w:val="002F1500"/>
    <w:rsid w:val="0034604B"/>
    <w:rsid w:val="00472AF4"/>
    <w:rsid w:val="004B0F20"/>
    <w:rsid w:val="00531526"/>
    <w:rsid w:val="00536DF4"/>
    <w:rsid w:val="00560743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346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10B1FEC9-B34B-4E99-AA37-6E39AEBC8C0F%7d&amp;noResults=2&amp;recordCount=2&amp;databaseID=%7b12FC52A7-0E32-4A81-9FFA-C8C6CF430677%7d&amp;search=%20%7bAND%7d%2090085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2026-05-18T08:47:00Z</dcterms:modified>
</cp:coreProperties>
</file>