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B4D8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6B4D8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B4D8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B4D8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B4D8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B4D8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B4D8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B4D8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B4D8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C7D251" w14:textId="77777777" w:rsidR="00242481" w:rsidRPr="006B4D89" w:rsidRDefault="0024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D89">
              <w:rPr>
                <w:rFonts w:ascii="Titillium Web" w:hAnsi="Titillium Web"/>
                <w:i/>
                <w:iCs/>
                <w:szCs w:val="24"/>
              </w:rPr>
              <w:t>Tomba 1153 a umazione</w:t>
            </w:r>
          </w:p>
          <w:p w14:paraId="7EDC31C2" w14:textId="77777777" w:rsidR="00242481" w:rsidRPr="006B4D89" w:rsidRDefault="0024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D89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606DD27D" w14:textId="77777777" w:rsidR="00242481" w:rsidRPr="006B4D89" w:rsidRDefault="0024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D89">
              <w:rPr>
                <w:rFonts w:ascii="Titillium Web" w:hAnsi="Titillium Web"/>
                <w:i/>
                <w:iCs/>
                <w:szCs w:val="24"/>
              </w:rPr>
              <w:t>A levante della tomba 1152 si rinviene uno scheletro solo, senza alcun oggetto.</w:t>
            </w:r>
          </w:p>
          <w:p w14:paraId="7030FEB7" w14:textId="77777777" w:rsidR="00242481" w:rsidRPr="006B4D89" w:rsidRDefault="0024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D89">
              <w:rPr>
                <w:rFonts w:ascii="Titillium Web" w:hAnsi="Titillium Web"/>
                <w:i/>
                <w:iCs/>
                <w:szCs w:val="24"/>
              </w:rPr>
              <w:t>È orientato da nord - ovest a sud - est: e non si è potuto constatare se fosse rinchiuso in cassa di legno, causa l’acqua e il fango dello scavo.</w:t>
            </w:r>
          </w:p>
          <w:p w14:paraId="22A8B59B" w14:textId="77777777" w:rsidR="00242481" w:rsidRPr="006B4D89" w:rsidRDefault="0024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D89">
              <w:rPr>
                <w:rFonts w:ascii="Titillium Web" w:hAnsi="Titillium Web"/>
                <w:i/>
                <w:iCs/>
                <w:szCs w:val="24"/>
              </w:rPr>
              <w:t>Lo scheletro ha la testa a m 1,00 dalla linea est - ovest ove si è cominciato lo scavo ed è a m 2,00 esatti a lev. dell’angolo sud - est della cassa della tomba precedente.</w:t>
            </w:r>
          </w:p>
          <w:p w14:paraId="3D4BD05A" w14:textId="77777777" w:rsidR="00242481" w:rsidRPr="006B4D89" w:rsidRDefault="0024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D89">
              <w:rPr>
                <w:rFonts w:ascii="Titillium Web" w:hAnsi="Titillium Web"/>
                <w:i/>
                <w:iCs/>
                <w:szCs w:val="24"/>
              </w:rPr>
              <w:t>Poggiava a m 1,10 di profondità.</w:t>
            </w:r>
          </w:p>
          <w:p w14:paraId="2084ECC1" w14:textId="77777777" w:rsidR="00242481" w:rsidRPr="006B4D89" w:rsidRDefault="00243D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D89">
              <w:rPr>
                <w:rFonts w:ascii="Titillium Web" w:hAnsi="Titillium Web"/>
                <w:i/>
                <w:iCs/>
                <w:szCs w:val="24"/>
              </w:rPr>
              <w:t>Nulla raccolto-</w:t>
            </w:r>
          </w:p>
        </w:tc>
      </w:tr>
      <w:tr w:rsidR="0086297F" w:rsidRPr="006B4D8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B4D8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4D8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4D8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B4D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4D8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B4D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D8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7B7CB6" w14:textId="77777777" w:rsidR="00242481" w:rsidRPr="006B4D89" w:rsidRDefault="00243DF8" w:rsidP="006B4D89">
            <w:pPr>
              <w:jc w:val="center"/>
              <w:rPr>
                <w:rFonts w:ascii="Titillium Web" w:hAnsi="Titillium Web"/>
                <w:szCs w:val="24"/>
              </w:rPr>
            </w:pPr>
            <w:r w:rsidRPr="006B4D8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B4D89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2481"/>
    <w:rsid w:val="002977D7"/>
    <w:rsid w:val="00472AF4"/>
    <w:rsid w:val="00551AF8"/>
    <w:rsid w:val="005B5AFF"/>
    <w:rsid w:val="006162A4"/>
    <w:rsid w:val="006346F7"/>
    <w:rsid w:val="006B4D89"/>
    <w:rsid w:val="006D6EFB"/>
    <w:rsid w:val="007145BC"/>
    <w:rsid w:val="0086297F"/>
    <w:rsid w:val="009E4922"/>
    <w:rsid w:val="00AB321D"/>
    <w:rsid w:val="00B165C4"/>
    <w:rsid w:val="00C01000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2026-05-13T20:46:00Z</dcterms:modified>
</cp:coreProperties>
</file>