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1163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F56A8C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F56A8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56A8C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F56A8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56A8C">
              <w:rPr>
                <w:rFonts w:ascii="Titillium Web" w:hAnsi="Titillium Web"/>
                <w:szCs w:val="24"/>
              </w:rPr>
              <w:t>1931</w:t>
            </w:r>
          </w:p>
        </w:tc>
      </w:tr>
      <w:tr w:rsidR="0086297F" w:rsidRPr="00F56A8C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F56A8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56A8C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F56A8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56A8C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F56A8C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F56A8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56A8C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F56A8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56A8C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F56A8C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F56A8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56A8C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F56A8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56A8C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F56A8C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F56A8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56A8C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F56A8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56A8C">
              <w:rPr>
                <w:rFonts w:ascii="Titillium Web" w:hAnsi="Titillium Web"/>
                <w:szCs w:val="24"/>
              </w:rPr>
              <w:t>0,9 m</w:t>
            </w:r>
          </w:p>
        </w:tc>
      </w:tr>
      <w:tr w:rsidR="0086297F" w:rsidRPr="00F56A8C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F56A8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56A8C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F56A8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56A8C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F56A8C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F56A8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56A8C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F56A8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56A8C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F56A8C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F56A8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56A8C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F56A8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56A8C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F56A8C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F56A8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56A8C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061F832" w14:textId="77777777" w:rsidR="001B2291" w:rsidRPr="00F56A8C" w:rsidRDefault="0039024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56A8C">
              <w:rPr>
                <w:rFonts w:ascii="Titillium Web" w:hAnsi="Titillium Web"/>
                <w:i/>
                <w:iCs/>
                <w:szCs w:val="24"/>
              </w:rPr>
              <w:t>Tomba 1163 - a cremazione -</w:t>
            </w:r>
          </w:p>
          <w:p w14:paraId="597B63C0" w14:textId="77777777" w:rsidR="001B2291" w:rsidRPr="00F56A8C" w:rsidRDefault="0039024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56A8C">
              <w:rPr>
                <w:rFonts w:ascii="Titillium Web" w:hAnsi="Titillium Web"/>
                <w:i/>
                <w:iCs/>
                <w:szCs w:val="24"/>
              </w:rPr>
              <w:t>A m. 1,10 immediatamente a nord del precedente dolietto e in corrispondenza del cranio della tomba 1161, si rinviene</w:t>
            </w:r>
          </w:p>
          <w:p w14:paraId="6DAEAD24" w14:textId="77777777" w:rsidR="001B2291" w:rsidRPr="00F56A8C" w:rsidRDefault="0039024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56A8C">
              <w:rPr>
                <w:rFonts w:ascii="Titillium Web" w:hAnsi="Titillium Web"/>
                <w:i/>
                <w:iCs/>
                <w:szCs w:val="24"/>
              </w:rPr>
              <w:t>1 dolio completamente schiacciato e marcito.</w:t>
            </w:r>
          </w:p>
          <w:p w14:paraId="61352999" w14:textId="77777777" w:rsidR="001B2291" w:rsidRPr="00F56A8C" w:rsidRDefault="0039024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56A8C">
              <w:rPr>
                <w:rFonts w:ascii="Titillium Web" w:hAnsi="Titillium Web"/>
                <w:i/>
                <w:iCs/>
                <w:szCs w:val="24"/>
              </w:rPr>
              <w:t>Il dolio ha la forma piriforme, con il maggiore rigonfiamento presso la spalla: e di argilla rossiccia, di impasto grezzo e di bocca larga; i cocci della bocca conservano delle righe incise presso l’orlo sotto la bocca, a modo di carboni.</w:t>
            </w:r>
          </w:p>
          <w:p w14:paraId="4F89C599" w14:textId="77777777" w:rsidR="001B2291" w:rsidRPr="00F56A8C" w:rsidRDefault="0039024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56A8C">
              <w:rPr>
                <w:rFonts w:ascii="Titillium Web" w:hAnsi="Titillium Web"/>
                <w:i/>
                <w:iCs/>
                <w:szCs w:val="24"/>
              </w:rPr>
              <w:t>La parte della bocca e dell’orlo, dopo essersi spezzata e marcita era precipitata entro il dolio assieme alla ciotola che lo copriva.</w:t>
            </w:r>
          </w:p>
          <w:p w14:paraId="736E5173" w14:textId="77777777" w:rsidR="001B2291" w:rsidRPr="00F56A8C" w:rsidRDefault="0039024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56A8C">
              <w:rPr>
                <w:rFonts w:ascii="Titillium Web" w:hAnsi="Titillium Web"/>
                <w:i/>
                <w:iCs/>
                <w:szCs w:val="24"/>
              </w:rPr>
              <w:t>Entro al dolio si rinvennero, nel fondo le ossa combuste, fra le quali:</w:t>
            </w:r>
          </w:p>
          <w:p w14:paraId="6A37A4EE" w14:textId="77777777" w:rsidR="001B2291" w:rsidRPr="00F56A8C" w:rsidRDefault="0039024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56A8C">
              <w:rPr>
                <w:rFonts w:ascii="Titillium Web" w:hAnsi="Titillium Web"/>
                <w:i/>
                <w:iCs/>
                <w:szCs w:val="24"/>
              </w:rPr>
              <w:t>1 piccolo grano di vetro di forma globulare con foro passante -</w:t>
            </w:r>
          </w:p>
          <w:p w14:paraId="73BF3DE9" w14:textId="77777777" w:rsidR="001B2291" w:rsidRPr="00F56A8C" w:rsidRDefault="0039024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56A8C">
              <w:rPr>
                <w:rFonts w:ascii="Titillium Web" w:hAnsi="Titillium Web"/>
                <w:i/>
                <w:iCs/>
                <w:szCs w:val="24"/>
              </w:rPr>
              <w:t>sopra le ceneri erano:</w:t>
            </w:r>
          </w:p>
          <w:p w14:paraId="0AB712BA" w14:textId="77777777" w:rsidR="001B2291" w:rsidRPr="00F56A8C" w:rsidRDefault="0039024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56A8C">
              <w:rPr>
                <w:rFonts w:ascii="Titillium Web" w:hAnsi="Titillium Web"/>
                <w:i/>
                <w:iCs/>
                <w:szCs w:val="24"/>
              </w:rPr>
              <w:t>1 oinochoe di forma un pò sviluppata nel ventre, con orifizio trilobato: è a vern. nera con figura nel ventre (a f.r.) di disegno trascurato rappresentante una figura femminile che regge uno scudo? è in frammenti ma restaurabile</w:t>
            </w:r>
          </w:p>
          <w:p w14:paraId="2C561F72" w14:textId="77777777" w:rsidR="001B2291" w:rsidRPr="00F56A8C" w:rsidRDefault="0039024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56A8C">
              <w:rPr>
                <w:rFonts w:ascii="Titillium Web" w:hAnsi="Titillium Web"/>
                <w:i/>
                <w:iCs/>
                <w:szCs w:val="24"/>
              </w:rPr>
              <w:t xml:space="preserve">1 tazzina con piede a listello e orlo verticale: è a vern. nera, rotto in </w:t>
            </w:r>
            <w:proofErr w:type="gramStart"/>
            <w:r w:rsidRPr="00F56A8C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F56A8C">
              <w:rPr>
                <w:rFonts w:ascii="Titillium Web" w:hAnsi="Titillium Web"/>
                <w:i/>
                <w:iCs/>
                <w:szCs w:val="24"/>
              </w:rPr>
              <w:t xml:space="preserve"> pezzi. È ancora cementata nel blocco di terra e cenere e sporca delle ceneri della combustione. Fu raccolta e lasciata con la terra e le ceneri per espresso ordine del Soprintendente.</w:t>
            </w:r>
          </w:p>
          <w:p w14:paraId="7F0122E4" w14:textId="77777777" w:rsidR="001B2291" w:rsidRPr="00F56A8C" w:rsidRDefault="0039024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56A8C">
              <w:rPr>
                <w:rFonts w:ascii="Titillium Web" w:hAnsi="Titillium Web"/>
                <w:i/>
                <w:iCs/>
                <w:szCs w:val="24"/>
              </w:rPr>
              <w:t>Il dolio era coperto da</w:t>
            </w:r>
          </w:p>
          <w:p w14:paraId="69A473CB" w14:textId="77777777" w:rsidR="001B2291" w:rsidRPr="00F56A8C" w:rsidRDefault="0039024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56A8C">
              <w:rPr>
                <w:rFonts w:ascii="Titillium Web" w:hAnsi="Titillium Web"/>
                <w:i/>
                <w:iCs/>
                <w:szCs w:val="24"/>
              </w:rPr>
              <w:t xml:space="preserve">1 grossa ciotola capovolta, di rilevante spessore, di impasto grossolano, liscia, con grosso orlo a cordone nella parte esterna </w:t>
            </w:r>
            <w:r w:rsidRPr="00F56A8C">
              <w:rPr>
                <w:rFonts w:ascii="Titillium Web" w:hAnsi="Titillium Web"/>
                <w:i/>
                <w:iCs/>
                <w:szCs w:val="24"/>
              </w:rPr>
              <w:lastRenderedPageBreak/>
              <w:t>è in frammenti gran parte dei quali, compreso il fondo, erano penetrati entro il dolio.</w:t>
            </w:r>
          </w:p>
          <w:p w14:paraId="64FB3365" w14:textId="77777777" w:rsidR="001B2291" w:rsidRPr="00F56A8C" w:rsidRDefault="0039024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56A8C">
              <w:rPr>
                <w:rFonts w:ascii="Titillium Web" w:hAnsi="Titillium Web"/>
                <w:i/>
                <w:iCs/>
                <w:szCs w:val="24"/>
              </w:rPr>
              <w:t>Del dolio nulla fu raccolto, ma i frammenti della ciotola furono raccolti per lo studio del materiale.</w:t>
            </w:r>
          </w:p>
          <w:p w14:paraId="13EFA52D" w14:textId="77777777" w:rsidR="001B2291" w:rsidRPr="00F56A8C" w:rsidRDefault="0039024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56A8C">
              <w:rPr>
                <w:rFonts w:ascii="Titillium Web" w:hAnsi="Titillium Web"/>
                <w:i/>
                <w:iCs/>
                <w:szCs w:val="24"/>
              </w:rPr>
              <w:t>Il dolio poggiava a m. 0,90 di profondità e poteva, intero, essere alto 0,52 circa.</w:t>
            </w:r>
          </w:p>
        </w:tc>
      </w:tr>
      <w:tr w:rsidR="0086297F" w:rsidRPr="00F56A8C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F56A8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56A8C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F56A8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56A8C">
              <w:rPr>
                <w:rFonts w:ascii="Titillium Web" w:hAnsi="Titillium Web"/>
                <w:szCs w:val="24"/>
              </w:rPr>
              <w:t>Dentro il cinerario</w:t>
            </w:r>
          </w:p>
        </w:tc>
      </w:tr>
      <w:tr w:rsidR="0086297F" w:rsidRPr="00F56A8C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F56A8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56A8C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F56A8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56A8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56A8C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F56A8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56A8C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F56A8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56A8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56A8C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F56A8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56A8C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F56A8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56A8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56A8C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F56A8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56A8C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6BA07002" w14:textId="2595BAA8" w:rsidR="001B2291" w:rsidRPr="00F56A8C" w:rsidRDefault="00F56A8C" w:rsidP="00F56A8C">
            <w:pPr>
              <w:jc w:val="center"/>
              <w:rPr>
                <w:rFonts w:ascii="Titillium Web" w:hAnsi="Titillium Web"/>
                <w:szCs w:val="24"/>
              </w:rPr>
            </w:pPr>
            <w:r w:rsidRPr="00F56A8C">
              <w:rPr>
                <w:rFonts w:ascii="Titillium Web" w:eastAsia="Titillium" w:hAnsi="Titillium Web" w:cs="Titillium"/>
                <w:smallCaps/>
                <w:szCs w:val="24"/>
              </w:rPr>
              <w:t>Felletti-Maj</w:t>
            </w:r>
            <w:r w:rsidRPr="00F56A8C">
              <w:rPr>
                <w:rFonts w:ascii="Titillium Web" w:eastAsia="Titillium" w:hAnsi="Titillium Web" w:cs="Titillium"/>
                <w:szCs w:val="24"/>
              </w:rPr>
              <w:t xml:space="preserve"> 1940, p. 331; </w:t>
            </w:r>
            <w:r w:rsidR="00390240" w:rsidRPr="00F56A8C">
              <w:rPr>
                <w:rFonts w:ascii="Titillium Web" w:eastAsia="Titillium" w:hAnsi="Titillium Web" w:cs="Titillium"/>
                <w:smallCaps/>
                <w:szCs w:val="24"/>
              </w:rPr>
              <w:t>Berti</w:t>
            </w:r>
            <w:r w:rsidR="00390240" w:rsidRPr="00F56A8C">
              <w:rPr>
                <w:rFonts w:ascii="Titillium Web" w:eastAsia="Titillium" w:hAnsi="Titillium Web" w:cs="Titillium"/>
                <w:szCs w:val="24"/>
              </w:rPr>
              <w:t xml:space="preserve"> 1991, p. 39; </w:t>
            </w:r>
            <w:r w:rsidR="00390240" w:rsidRPr="00F56A8C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="00390240" w:rsidRPr="00F56A8C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B2291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65B0E"/>
    <w:rsid w:val="00AB321D"/>
    <w:rsid w:val="00B165C4"/>
    <w:rsid w:val="00C21EE0"/>
    <w:rsid w:val="00D900AB"/>
    <w:rsid w:val="00D936E8"/>
    <w:rsid w:val="00E24633"/>
    <w:rsid w:val="00F56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335</Words>
  <Characters>1915</Characters>
  <Application>Microsoft Office Word</Application>
  <DocSecurity>0</DocSecurity>
  <Lines>15</Lines>
  <Paragraphs>4</Paragraphs>
  <ScaleCrop>false</ScaleCrop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2026-05-13T20:40:00Z</dcterms:modified>
</cp:coreProperties>
</file>