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4E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1932</w:t>
            </w:r>
          </w:p>
        </w:tc>
      </w:tr>
      <w:tr w:rsidR="0086297F" w:rsidRPr="00334E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34E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4E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4E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334E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4E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E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4E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399926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Tomba 1165 a umazione</w:t>
            </w:r>
          </w:p>
          <w:p w14:paraId="60B54548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(rinvenuta il 26 ottobre del 1932)</w:t>
            </w:r>
          </w:p>
          <w:p w14:paraId="252FCC60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rinvenuta dai lavoratori della bonifica; il guardiano è arrivato a raccoglierne i materiali dopo scavata la tomba</w:t>
            </w:r>
          </w:p>
          <w:p w14:paraId="35C043F6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La tomba era posta a m. 160 a lev. della poderale (</w:t>
            </w:r>
            <w:proofErr w:type="gramStart"/>
            <w:r w:rsidRPr="00334E7A">
              <w:rPr>
                <w:rFonts w:ascii="Titillium Web" w:hAnsi="Titillium Web"/>
                <w:i/>
                <w:iCs/>
                <w:szCs w:val="24"/>
              </w:rPr>
              <w:t>2°</w:t>
            </w:r>
            <w:proofErr w:type="gramEnd"/>
            <w:r w:rsidRPr="00334E7A">
              <w:rPr>
                <w:rFonts w:ascii="Titillium Web" w:hAnsi="Titillium Web"/>
                <w:i/>
                <w:iCs/>
                <w:szCs w:val="24"/>
              </w:rPr>
              <w:t xml:space="preserve"> canalino di quarto ordine - i quali sono distanti fra loro m. 80).</w:t>
            </w:r>
          </w:p>
          <w:p w14:paraId="2BFBF9FA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La orientazione dello scheletro e la disposizione del materiale non si può descrivere perché fu scavata dagli sterratori della Bonifica.</w:t>
            </w:r>
          </w:p>
          <w:p w14:paraId="7CB1BBD7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Dal Donna Bianca la tomba distava verso sud metri 75.</w:t>
            </w:r>
          </w:p>
          <w:p w14:paraId="49802702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oinochoe di forma ovoidale, a bocca trilobata, a vern. nera scadente, intero</w:t>
            </w:r>
          </w:p>
          <w:p w14:paraId="546553F6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skyphos a vern. nera scadente, in fram.ti</w:t>
            </w:r>
          </w:p>
          <w:p w14:paraId="4E52F535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tazzetta apoda a vern. n. scadente, frammista nell’orlo, con palmette impresse nell’interno</w:t>
            </w:r>
          </w:p>
          <w:p w14:paraId="5F95E139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fondello di altra simile.</w:t>
            </w:r>
          </w:p>
          <w:p w14:paraId="13EE21EC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lekane di fabbrica italica; tazza e coperchio in frammenti.</w:t>
            </w:r>
          </w:p>
          <w:p w14:paraId="319828E3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Il coperchio è decorato a riquadri con teste umane (disegno scadente) sulle quali si notano lievi traccie di sovrapittura -</w:t>
            </w:r>
          </w:p>
          <w:p w14:paraId="35655140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1 piattello a vern. n. scadente, intero</w:t>
            </w:r>
          </w:p>
          <w:p w14:paraId="0AEAD45A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- frammenti di anfora comune, pontuta, rozza e liscia -</w:t>
            </w:r>
          </w:p>
          <w:p w14:paraId="6DE13AD6" w14:textId="77777777" w:rsidR="009F5E61" w:rsidRPr="00334E7A" w:rsidRDefault="009F5E6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49B2225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 xml:space="preserve">Questa tomba fu scavata abusivamente da Tagliati e trafugata. Il guardiano Tomasi imparata la cosa andò dal Tagliati </w:t>
            </w:r>
            <w:r w:rsidRPr="00334E7A">
              <w:rPr>
                <w:rFonts w:ascii="Titillium Web" w:hAnsi="Titillium Web"/>
                <w:i/>
                <w:iCs/>
                <w:szCs w:val="24"/>
              </w:rPr>
              <w:lastRenderedPageBreak/>
              <w:t>facendosi consegnare il materiale rubato, senza denunciarlo ai Carabinieri. e senza avvisare di ciò la Soprintendenza -</w:t>
            </w:r>
          </w:p>
          <w:p w14:paraId="7E79CFC3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Ho saputo ciò da Tagliati in persona, in casa Cardi il 7 maggio 1933 a Lagosanto -</w:t>
            </w:r>
          </w:p>
          <w:p w14:paraId="22246274" w14:textId="77777777" w:rsidR="009F5E61" w:rsidRPr="00334E7A" w:rsidRDefault="0071383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7A">
              <w:rPr>
                <w:rFonts w:ascii="Titillium Web" w:hAnsi="Titillium Web"/>
                <w:i/>
                <w:iCs/>
                <w:szCs w:val="24"/>
              </w:rPr>
              <w:t>M. Tomasi ha smentito ciò nella forma la più energica -</w:t>
            </w:r>
          </w:p>
        </w:tc>
      </w:tr>
      <w:tr w:rsidR="0086297F" w:rsidRPr="00334E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060A9BA" w:rsidR="0086297F" w:rsidRPr="00334E7A" w:rsidRDefault="00D50EB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50EB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34E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E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E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4E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E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4E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7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E1C44B" w14:textId="77777777" w:rsidR="009F5E61" w:rsidRPr="00334E7A" w:rsidRDefault="00713834" w:rsidP="00334E7A">
            <w:pPr>
              <w:jc w:val="center"/>
              <w:rPr>
                <w:rFonts w:ascii="Titillium Web" w:hAnsi="Titillium Web"/>
                <w:szCs w:val="24"/>
              </w:rPr>
            </w:pPr>
            <w:r w:rsidRPr="00334E7A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334E7A">
              <w:rPr>
                <w:rFonts w:ascii="Titillium Web" w:eastAsia="Titillium" w:hAnsi="Titillium Web" w:cs="Titillium"/>
                <w:szCs w:val="24"/>
              </w:rPr>
              <w:t xml:space="preserve"> 1940, p. 332; </w:t>
            </w:r>
            <w:r w:rsidRPr="00334E7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34E7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4E7A"/>
    <w:rsid w:val="00472AF4"/>
    <w:rsid w:val="00551AF8"/>
    <w:rsid w:val="005B5AFF"/>
    <w:rsid w:val="006162A4"/>
    <w:rsid w:val="006346F7"/>
    <w:rsid w:val="006C5C41"/>
    <w:rsid w:val="006D6EFB"/>
    <w:rsid w:val="007145BC"/>
    <w:rsid w:val="0086297F"/>
    <w:rsid w:val="009E4922"/>
    <w:rsid w:val="009F5E61"/>
    <w:rsid w:val="00AB321D"/>
    <w:rsid w:val="00B165C4"/>
    <w:rsid w:val="00BD5022"/>
    <w:rsid w:val="00C21EE0"/>
    <w:rsid w:val="00D50EB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2026-05-15T09:52:00Z</dcterms:modified>
</cp:coreProperties>
</file>