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F182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F18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1827">
              <w:rPr>
                <w:rFonts w:ascii="Titillium Web" w:hAnsi="Titillium Web"/>
                <w:szCs w:val="24"/>
              </w:rPr>
              <w:t>1932</w:t>
            </w:r>
          </w:p>
        </w:tc>
      </w:tr>
      <w:tr w:rsidR="0086297F" w:rsidRPr="004F182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F18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182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F182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F18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182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F182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F18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182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F182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227392C5" w:rsidR="0086297F" w:rsidRPr="004F1827" w:rsidRDefault="004F1827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182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F18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182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F182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F18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18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182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F18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182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182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086676A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4F1827">
              <w:rPr>
                <w:rFonts w:ascii="Titillium Web" w:hAnsi="Titillium Web"/>
                <w:i/>
                <w:iCs/>
                <w:szCs w:val="24"/>
              </w:rPr>
              <w:t>1166 ?</w:t>
            </w:r>
            <w:proofErr w:type="gramEnd"/>
          </w:p>
          <w:p w14:paraId="7F3A252C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da descrizione orale di Tagliati distava un paio di metri dalla T. 1165</w:t>
            </w:r>
          </w:p>
          <w:p w14:paraId="74B0F6C0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Sembra contenesse lo scheletro.</w:t>
            </w:r>
          </w:p>
          <w:p w14:paraId="43F72800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1 vaso a forma sferica con alto piede conico - (deinos o pisside?) a figure rosse di stile</w:t>
            </w:r>
          </w:p>
          <w:p w14:paraId="7BC65267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trasandato, con figure femminili o genietti offerenti balsamari e cassettine -</w:t>
            </w:r>
            <w:proofErr w:type="gramStart"/>
            <w:r w:rsidRPr="004F1827">
              <w:rPr>
                <w:rFonts w:ascii="Titillium Web" w:hAnsi="Titillium Web"/>
                <w:i/>
                <w:iCs/>
                <w:szCs w:val="24"/>
              </w:rPr>
              <w:t xml:space="preserve"> ..</w:t>
            </w:r>
            <w:proofErr w:type="gramEnd"/>
            <w:r w:rsidRPr="004F1827">
              <w:rPr>
                <w:rFonts w:ascii="Titillium Web" w:hAnsi="Titillium Web"/>
                <w:i/>
                <w:iCs/>
                <w:szCs w:val="24"/>
              </w:rPr>
              <w:t xml:space="preserve"> il tutto in frammenti e ricomponibile.</w:t>
            </w:r>
          </w:p>
          <w:p w14:paraId="0254216C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1 coperchio del vaso precedente, con pomello a forma di melograno e decorato con una raggiera di denti di lupo assai allungati, a vern. n. su fondo rosso in frammenti -</w:t>
            </w:r>
          </w:p>
          <w:p w14:paraId="7092E434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2 oinochoai di forma ovoidale, con bocca trilobata e con figure rosse su fondo nero</w:t>
            </w:r>
          </w:p>
          <w:p w14:paraId="4E499308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Sono di disegno trasandato e in fram.ti.</w:t>
            </w:r>
          </w:p>
          <w:p w14:paraId="779A7949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F182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F1827">
              <w:rPr>
                <w:rFonts w:ascii="Titillium Web" w:hAnsi="Titillium Web"/>
                <w:i/>
                <w:iCs/>
                <w:szCs w:val="24"/>
              </w:rPr>
              <w:t xml:space="preserve"> piatti attici, ad alto piede, a vern. nera con disegno nel medaglione, su l’uno una testina maschile, e sull’altro una testina femminile. (a f. rosse su f. nero) Sull’orlo dei piatti corre in giro un motivo di foglie lanceolate, rosse su f. nera</w:t>
            </w:r>
          </w:p>
          <w:p w14:paraId="7C2BEE7C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Sono in frammenti -</w:t>
            </w:r>
          </w:p>
          <w:p w14:paraId="3C690CC0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F182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F1827">
              <w:rPr>
                <w:rFonts w:ascii="Titillium Web" w:hAnsi="Titillium Web"/>
                <w:i/>
                <w:iCs/>
                <w:szCs w:val="24"/>
              </w:rPr>
              <w:t xml:space="preserve"> coppe ad alto piede, a vern. nera, bruna una è intera, l’altra ha il piede staccato.</w:t>
            </w:r>
          </w:p>
          <w:p w14:paraId="251AE56A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2 coppine con piede, a vern. nera, (una è intera, l’altra ha il piede staccato).</w:t>
            </w:r>
          </w:p>
          <w:p w14:paraId="13DFC7D0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1 oinochoe falso (moderno) con palmette e figure di satiro danzante; rosso su f. rosso -</w:t>
            </w:r>
          </w:p>
          <w:p w14:paraId="0B0121CD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È intero; di disegno assai corrente e di vern. assai </w:t>
            </w:r>
            <w:proofErr w:type="gramStart"/>
            <w:r w:rsidRPr="004F1827">
              <w:rPr>
                <w:rFonts w:ascii="Titillium Web" w:hAnsi="Titillium Web"/>
                <w:i/>
                <w:iCs/>
                <w:szCs w:val="24"/>
              </w:rPr>
              <w:t>comune .</w:t>
            </w:r>
            <w:proofErr w:type="gramEnd"/>
          </w:p>
          <w:p w14:paraId="457A6188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- Il vaso grande (pisside) e due oinochoai e i piattelli recano le traccie evidentissime di un tentativo di restauro rudimentale.</w:t>
            </w:r>
          </w:p>
          <w:p w14:paraId="02FC70C2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Si è tentato (dai frodatori) di tenere aderenti fra loro i frammenti mediante carta incollata all’interno e nel rovescio dei vasi.</w:t>
            </w:r>
          </w:p>
          <w:p w14:paraId="297E677E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Il Sig. Cardi ha consegnato più tardi al guardiano Tomasi:</w:t>
            </w:r>
          </w:p>
          <w:p w14:paraId="71551C46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2 oinochoai a bocc. trilobata... figurati (interi) che furono trasportati a Bologna con il materiale archeologico delle tombe scavate nel 1935 (marzo) dell’assistente Proni -</w:t>
            </w:r>
          </w:p>
          <w:p w14:paraId="692A8F8E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che fanno parte dello stesso gruppo di materiali sequestrati al Tagliati la sera 6-3-1933</w:t>
            </w:r>
          </w:p>
          <w:p w14:paraId="20D22A9B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a Marozzo -</w:t>
            </w:r>
          </w:p>
          <w:p w14:paraId="39B944FD" w14:textId="77777777" w:rsidR="008A60D9" w:rsidRPr="004F1827" w:rsidRDefault="00295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1827">
              <w:rPr>
                <w:rFonts w:ascii="Titillium Web" w:hAnsi="Titillium Web"/>
                <w:i/>
                <w:iCs/>
                <w:szCs w:val="24"/>
              </w:rPr>
              <w:t>Sembra sia tutta menzogna la dichiarazione di Tagliati riguardo all’ubicazione e materiale nella tomba</w:t>
            </w:r>
          </w:p>
        </w:tc>
      </w:tr>
      <w:tr w:rsidR="0086297F" w:rsidRPr="004F182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48893173" w:rsidR="0086297F" w:rsidRPr="004F1827" w:rsidRDefault="007B60D4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60D4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4F182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F18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F1827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4F182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F18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F1827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4F182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F18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18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182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F18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182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987F18" w14:textId="15F378A5" w:rsidR="008A60D9" w:rsidRPr="004F1827" w:rsidRDefault="00295D0B" w:rsidP="004F1827">
            <w:pPr>
              <w:jc w:val="center"/>
              <w:rPr>
                <w:rFonts w:ascii="Titillium Web" w:hAnsi="Titillium Web"/>
                <w:szCs w:val="24"/>
              </w:rPr>
            </w:pPr>
            <w:r w:rsidRPr="004F1827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4F1827">
              <w:rPr>
                <w:rFonts w:ascii="Titillium Web" w:eastAsia="Titillium" w:hAnsi="Titillium Web" w:cs="Titillium"/>
                <w:szCs w:val="24"/>
              </w:rPr>
              <w:t xml:space="preserve"> 1940, pp. 50, 334</w:t>
            </w:r>
            <w:r w:rsidR="004F1827">
              <w:rPr>
                <w:rFonts w:ascii="Titillium Web" w:eastAsia="Titillium" w:hAnsi="Titillium Web" w:cs="Titillium"/>
                <w:szCs w:val="24"/>
              </w:rPr>
              <w:t>;</w:t>
            </w:r>
            <w:r w:rsidR="004F1827" w:rsidRPr="004F1827">
              <w:rPr>
                <w:rFonts w:ascii="Titillium Web" w:eastAsia="Titillium" w:hAnsi="Titillium Web" w:cs="Titillium"/>
                <w:smallCaps/>
                <w:szCs w:val="24"/>
              </w:rPr>
              <w:t xml:space="preserve"> Berti</w:t>
            </w:r>
            <w:r w:rsidR="004F1827" w:rsidRPr="004F1827">
              <w:rPr>
                <w:rFonts w:ascii="Titillium Web" w:eastAsia="Titillium" w:hAnsi="Titillium Web" w:cs="Titillium"/>
                <w:szCs w:val="24"/>
              </w:rPr>
              <w:t xml:space="preserve"> 1983, pp. 87-88;</w:t>
            </w:r>
            <w:r w:rsidRPr="004F1827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4F182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F1827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Pr="004F1827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4F1827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4F1827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4F1827">
              <w:rPr>
                <w:rFonts w:ascii="Titillium Web" w:eastAsia="Titillium" w:hAnsi="Titillium Web" w:cs="Titillium"/>
                <w:szCs w:val="24"/>
              </w:rPr>
              <w:t xml:space="preserve"> 2023, p. 291; </w:t>
            </w:r>
            <w:r w:rsidRPr="004F182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F182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F1827"/>
    <w:rsid w:val="00551AF8"/>
    <w:rsid w:val="005B5AFF"/>
    <w:rsid w:val="006162A4"/>
    <w:rsid w:val="006346F7"/>
    <w:rsid w:val="006D6EFB"/>
    <w:rsid w:val="007145BC"/>
    <w:rsid w:val="007A0B67"/>
    <w:rsid w:val="007B60D4"/>
    <w:rsid w:val="0086297F"/>
    <w:rsid w:val="008A60D9"/>
    <w:rsid w:val="009E4922"/>
    <w:rsid w:val="00AB321D"/>
    <w:rsid w:val="00B165C4"/>
    <w:rsid w:val="00C21EE0"/>
    <w:rsid w:val="00D726E6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2026-05-15T09:52:00Z</dcterms:modified>
</cp:coreProperties>
</file>