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767B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3767B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767B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767B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767B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3767B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767B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767B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767B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842D5D1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Tomba 1170, a umazione</w:t>
            </w:r>
          </w:p>
          <w:p w14:paraId="6711ADCE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(da descrizione orale del guardiano Tomasi)</w:t>
            </w:r>
          </w:p>
          <w:p w14:paraId="2C45B3D8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Distava m. 82,70 a sud del Donna Bianca e a m. 54 a levante della poderale. Posava alla profondità di 0,95 sotto il piano di campagna.</w:t>
            </w:r>
          </w:p>
          <w:p w14:paraId="0911308D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- Lo scheletro era orientato con la testa a nord-ovest e i piedi a sud-est.</w:t>
            </w:r>
          </w:p>
          <w:p w14:paraId="738044D8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Presso il fianco destro dello scheletro erano disposti:</w:t>
            </w:r>
          </w:p>
          <w:p w14:paraId="1ADE1871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- n. 2 crateri a calice a vern. nera con figure su fondo rosso. Sono frammentati (in bei frammenti) e restaurabili perfettamente. Sono decorati sul lato davanti con scena figurata di amazzone a cavallo combattente contro un drago (o grifo) a lato; nel rovescio le solite figure ammantate. Il disegno è un pò trascurato e sulle figure si notano avanzi di pittura in bianco. I due crateri sono uguali per forma, per disegno e per dimensioni (esistono nella collezione di V. Trebba altri esemplari simili, vedi tomb</w:t>
            </w:r>
            <w:r w:rsidRPr="003767B0">
              <w:rPr>
                <w:rFonts w:ascii="Titillium Web" w:hAnsi="Titillium Web"/>
                <w:i/>
                <w:iCs/>
                <w:szCs w:val="24"/>
              </w:rPr>
              <w:t>a</w:t>
            </w:r>
          </w:p>
          <w:p w14:paraId="555C7832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- 1 balsamario tipo alabastron, di argilla gialla comune, grezzo, senza vernice, intero.</w:t>
            </w:r>
          </w:p>
          <w:p w14:paraId="577C0B80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- 2 ciotole a vern. nera scadente (una con palmette impresse), entrambe in frammenti.</w:t>
            </w:r>
          </w:p>
          <w:p w14:paraId="4CD21892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- 1 altra simile, intera, a vern. nera scadente con due anse orrizontali.</w:t>
            </w:r>
          </w:p>
          <w:p w14:paraId="33058889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- 3 piccoli piattelli con basso piede, grezzi, di argilla cenerognola</w:t>
            </w:r>
          </w:p>
          <w:p w14:paraId="7653AE08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lastRenderedPageBreak/>
              <w:t>- 2 anfore puntute, comuni, grezze, di argilla rossa, entrambe in frammenti (ma è restaurabile)</w:t>
            </w:r>
          </w:p>
          <w:p w14:paraId="034866F1" w14:textId="77777777" w:rsidR="009D1006" w:rsidRPr="003767B0" w:rsidRDefault="00FE259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67B0">
              <w:rPr>
                <w:rFonts w:ascii="Titillium Web" w:hAnsi="Titillium Web"/>
                <w:i/>
                <w:iCs/>
                <w:szCs w:val="24"/>
              </w:rPr>
              <w:t>- 1 frammento informe di ferro.</w:t>
            </w:r>
          </w:p>
        </w:tc>
      </w:tr>
      <w:tr w:rsidR="0086297F" w:rsidRPr="003767B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767B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67B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67B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767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3767B0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3767B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767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67B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BA1CCBF" w14:textId="77777777" w:rsidR="009D1006" w:rsidRPr="003767B0" w:rsidRDefault="00FE259A" w:rsidP="003767B0">
            <w:pPr>
              <w:jc w:val="center"/>
              <w:rPr>
                <w:rFonts w:ascii="Titillium Web" w:hAnsi="Titillium Web"/>
                <w:szCs w:val="24"/>
              </w:rPr>
            </w:pPr>
            <w:r w:rsidRPr="003767B0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3767B0">
              <w:rPr>
                <w:rFonts w:ascii="Titillium Web" w:eastAsia="Titillium" w:hAnsi="Titillium Web" w:cs="Titillium"/>
                <w:szCs w:val="24"/>
              </w:rPr>
              <w:t xml:space="preserve"> 1940, p. 337; </w:t>
            </w:r>
            <w:r w:rsidRPr="003767B0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767B0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67B0"/>
    <w:rsid w:val="00472AF4"/>
    <w:rsid w:val="00551AF8"/>
    <w:rsid w:val="005B5AFF"/>
    <w:rsid w:val="006162A4"/>
    <w:rsid w:val="006346F7"/>
    <w:rsid w:val="006D6EFB"/>
    <w:rsid w:val="007145BC"/>
    <w:rsid w:val="0086297F"/>
    <w:rsid w:val="009D1006"/>
    <w:rsid w:val="009E4922"/>
    <w:rsid w:val="00AB321D"/>
    <w:rsid w:val="00B165C4"/>
    <w:rsid w:val="00C21EE0"/>
    <w:rsid w:val="00D900AB"/>
    <w:rsid w:val="00D936E8"/>
    <w:rsid w:val="00E24633"/>
    <w:rsid w:val="00F8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2026-05-13T20:36:00Z</dcterms:modified>
</cp:coreProperties>
</file>