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1182</w:t>
      </w:r>
    </w:p>
    <w:tbl>
      <w:tblPr>
        <w:tblStyle w:val="Grigliatabella"/>
        <w:tblW w:w="5000" w:type="pct"/>
        <w:jc w:val="center"/>
        <w:tblLook w:val="04A0" w:firstRow="1" w:lastRow="0" w:firstColumn="1" w:lastColumn="0" w:noHBand="0" w:noVBand="1"/>
      </w:tblPr>
      <w:tblGrid>
        <w:gridCol w:w="2990"/>
        <w:gridCol w:w="6070"/>
      </w:tblGrid>
      <w:tr w:rsidR="0086297F" w:rsidRPr="004B47F7" w14:paraId="69604347" w14:textId="77777777" w:rsidTr="002665C6">
        <w:trPr>
          <w:jc w:val="center"/>
        </w:trPr>
        <w:tc>
          <w:tcPr>
            <w:tcW w:w="1650" w:type="pct"/>
            <w:vAlign w:val="center"/>
          </w:tcPr>
          <w:p w14:paraId="59258D49" w14:textId="77777777" w:rsidR="0086297F" w:rsidRPr="004B47F7" w:rsidRDefault="0086297F" w:rsidP="002665C6">
            <w:pPr>
              <w:jc w:val="center"/>
              <w:rPr>
                <w:rFonts w:ascii="Titillium Web" w:hAnsi="Titillium Web"/>
                <w:smallCaps/>
                <w:szCs w:val="24"/>
              </w:rPr>
            </w:pPr>
            <w:r w:rsidRPr="004B47F7">
              <w:rPr>
                <w:rFonts w:ascii="Titillium Web" w:hAnsi="Titillium Web"/>
                <w:smallCaps/>
                <w:szCs w:val="24"/>
              </w:rPr>
              <w:t>Anno di rinvenimento</w:t>
            </w:r>
          </w:p>
        </w:tc>
        <w:tc>
          <w:tcPr>
            <w:tcW w:w="3350" w:type="pct"/>
            <w:vAlign w:val="center"/>
          </w:tcPr>
          <w:p w14:paraId="10AA1E7C" w14:textId="59BFE2EE" w:rsidR="0086297F" w:rsidRPr="004B47F7" w:rsidRDefault="0086297F" w:rsidP="002665C6">
            <w:pPr>
              <w:jc w:val="center"/>
              <w:rPr>
                <w:rFonts w:ascii="Titillium Web" w:hAnsi="Titillium Web"/>
                <w:szCs w:val="24"/>
              </w:rPr>
            </w:pPr>
            <w:r w:rsidRPr="004B47F7">
              <w:rPr>
                <w:rFonts w:ascii="Titillium Web" w:hAnsi="Titillium Web"/>
                <w:szCs w:val="24"/>
              </w:rPr>
              <w:t>1935</w:t>
            </w:r>
          </w:p>
        </w:tc>
      </w:tr>
      <w:tr w:rsidR="0086297F" w:rsidRPr="004B47F7" w14:paraId="3B6B9C62" w14:textId="77777777" w:rsidTr="002665C6">
        <w:trPr>
          <w:jc w:val="center"/>
        </w:trPr>
        <w:tc>
          <w:tcPr>
            <w:tcW w:w="1650" w:type="pct"/>
            <w:vAlign w:val="center"/>
          </w:tcPr>
          <w:p w14:paraId="2D01D888" w14:textId="77777777" w:rsidR="0086297F" w:rsidRPr="004B47F7" w:rsidRDefault="0086297F" w:rsidP="002665C6">
            <w:pPr>
              <w:jc w:val="center"/>
              <w:rPr>
                <w:rFonts w:ascii="Titillium Web" w:hAnsi="Titillium Web"/>
                <w:smallCaps/>
                <w:szCs w:val="24"/>
              </w:rPr>
            </w:pPr>
            <w:r w:rsidRPr="004B47F7">
              <w:rPr>
                <w:rFonts w:ascii="Titillium Web" w:hAnsi="Titillium Web"/>
                <w:smallCaps/>
                <w:szCs w:val="24"/>
              </w:rPr>
              <w:t>Stato di conservazione della tomba</w:t>
            </w:r>
          </w:p>
        </w:tc>
        <w:tc>
          <w:tcPr>
            <w:tcW w:w="3350" w:type="pct"/>
            <w:vAlign w:val="center"/>
          </w:tcPr>
          <w:p w14:paraId="3ADC95CD" w14:textId="31719CCD" w:rsidR="0086297F" w:rsidRPr="004B47F7" w:rsidRDefault="0086297F" w:rsidP="002665C6">
            <w:pPr>
              <w:jc w:val="center"/>
              <w:rPr>
                <w:rFonts w:ascii="Titillium Web" w:hAnsi="Titillium Web"/>
                <w:szCs w:val="24"/>
              </w:rPr>
            </w:pPr>
            <w:r w:rsidRPr="004B47F7">
              <w:rPr>
                <w:rFonts w:ascii="Titillium Web" w:hAnsi="Titillium Web"/>
                <w:szCs w:val="24"/>
              </w:rPr>
              <w:t>Intatta</w:t>
            </w:r>
          </w:p>
        </w:tc>
      </w:tr>
      <w:tr w:rsidR="0086297F" w:rsidRPr="004B47F7" w14:paraId="3D165E1E" w14:textId="77777777" w:rsidTr="002665C6">
        <w:trPr>
          <w:jc w:val="center"/>
        </w:trPr>
        <w:tc>
          <w:tcPr>
            <w:tcW w:w="1650" w:type="pct"/>
            <w:vAlign w:val="center"/>
          </w:tcPr>
          <w:p w14:paraId="2A5B3D4F" w14:textId="77777777" w:rsidR="0086297F" w:rsidRPr="004B47F7" w:rsidRDefault="0086297F" w:rsidP="002665C6">
            <w:pPr>
              <w:jc w:val="center"/>
              <w:rPr>
                <w:rFonts w:ascii="Titillium Web" w:hAnsi="Titillium Web"/>
                <w:smallCaps/>
                <w:szCs w:val="24"/>
              </w:rPr>
            </w:pPr>
            <w:r w:rsidRPr="004B47F7">
              <w:rPr>
                <w:rFonts w:ascii="Titillium Web" w:hAnsi="Titillium Web"/>
                <w:smallCaps/>
                <w:szCs w:val="24"/>
              </w:rPr>
              <w:t>Rito di seppellimento</w:t>
            </w:r>
          </w:p>
        </w:tc>
        <w:tc>
          <w:tcPr>
            <w:tcW w:w="3350" w:type="pct"/>
            <w:vAlign w:val="center"/>
          </w:tcPr>
          <w:p w14:paraId="094BD426" w14:textId="6E99443A" w:rsidR="0086297F" w:rsidRPr="004B47F7" w:rsidRDefault="0086297F" w:rsidP="002665C6">
            <w:pPr>
              <w:jc w:val="center"/>
              <w:rPr>
                <w:rFonts w:ascii="Titillium Web" w:hAnsi="Titillium Web"/>
                <w:szCs w:val="24"/>
              </w:rPr>
            </w:pPr>
            <w:r w:rsidRPr="004B47F7">
              <w:rPr>
                <w:rFonts w:ascii="Titillium Web" w:hAnsi="Titillium Web"/>
                <w:szCs w:val="24"/>
              </w:rPr>
              <w:t>Inumazione</w:t>
            </w:r>
          </w:p>
        </w:tc>
      </w:tr>
      <w:tr w:rsidR="0086297F" w:rsidRPr="004B47F7" w14:paraId="44CADBCB" w14:textId="77777777" w:rsidTr="002665C6">
        <w:trPr>
          <w:jc w:val="center"/>
        </w:trPr>
        <w:tc>
          <w:tcPr>
            <w:tcW w:w="1650" w:type="pct"/>
            <w:vAlign w:val="center"/>
          </w:tcPr>
          <w:p w14:paraId="1E25741A" w14:textId="77777777" w:rsidR="0086297F" w:rsidRPr="004B47F7" w:rsidRDefault="0086297F" w:rsidP="002665C6">
            <w:pPr>
              <w:jc w:val="center"/>
              <w:rPr>
                <w:rFonts w:ascii="Titillium Web" w:hAnsi="Titillium Web"/>
                <w:smallCaps/>
                <w:szCs w:val="24"/>
              </w:rPr>
            </w:pPr>
            <w:r w:rsidRPr="004B47F7">
              <w:rPr>
                <w:rFonts w:ascii="Titillium Web" w:hAnsi="Titillium Web"/>
                <w:smallCaps/>
                <w:szCs w:val="24"/>
              </w:rPr>
              <w:t>Struttura tomba</w:t>
            </w:r>
          </w:p>
        </w:tc>
        <w:tc>
          <w:tcPr>
            <w:tcW w:w="3350" w:type="pct"/>
            <w:vAlign w:val="center"/>
          </w:tcPr>
          <w:p w14:paraId="1DE3BCB3" w14:textId="08DB6A85" w:rsidR="0086297F" w:rsidRPr="004B47F7" w:rsidRDefault="0086297F" w:rsidP="002665C6">
            <w:pPr>
              <w:jc w:val="center"/>
              <w:rPr>
                <w:rFonts w:ascii="Titillium Web" w:hAnsi="Titillium Web"/>
                <w:szCs w:val="24"/>
              </w:rPr>
            </w:pPr>
            <w:r w:rsidRPr="004B47F7">
              <w:rPr>
                <w:rFonts w:ascii="Titillium Web" w:hAnsi="Titillium Web"/>
                <w:szCs w:val="24"/>
              </w:rPr>
              <w:t>fossa con cassone ligneo bipartito</w:t>
            </w:r>
          </w:p>
        </w:tc>
      </w:tr>
      <w:tr w:rsidR="0086297F" w:rsidRPr="004B47F7" w14:paraId="47E1F943" w14:textId="77777777" w:rsidTr="002665C6">
        <w:trPr>
          <w:jc w:val="center"/>
        </w:trPr>
        <w:tc>
          <w:tcPr>
            <w:tcW w:w="1650" w:type="pct"/>
            <w:vAlign w:val="center"/>
          </w:tcPr>
          <w:p w14:paraId="355EE080" w14:textId="77777777" w:rsidR="0086297F" w:rsidRPr="004B47F7" w:rsidRDefault="0086297F" w:rsidP="002665C6">
            <w:pPr>
              <w:jc w:val="center"/>
              <w:rPr>
                <w:rFonts w:ascii="Titillium Web" w:hAnsi="Titillium Web"/>
                <w:smallCaps/>
                <w:szCs w:val="24"/>
              </w:rPr>
            </w:pPr>
            <w:r w:rsidRPr="004B47F7">
              <w:rPr>
                <w:rFonts w:ascii="Titillium Web" w:hAnsi="Titillium Web"/>
                <w:smallCaps/>
                <w:szCs w:val="24"/>
              </w:rPr>
              <w:t xml:space="preserve">Profondità dal piano di campagna </w:t>
            </w:r>
          </w:p>
        </w:tc>
        <w:tc>
          <w:tcPr>
            <w:tcW w:w="3350" w:type="pct"/>
            <w:vAlign w:val="center"/>
          </w:tcPr>
          <w:p w14:paraId="13D75B9B" w14:textId="6492371F" w:rsidR="0086297F" w:rsidRPr="004B47F7" w:rsidRDefault="0086297F" w:rsidP="002665C6">
            <w:pPr>
              <w:jc w:val="center"/>
              <w:rPr>
                <w:rFonts w:ascii="Titillium Web" w:hAnsi="Titillium Web"/>
                <w:szCs w:val="24"/>
              </w:rPr>
            </w:pPr>
            <w:r w:rsidRPr="004B47F7">
              <w:rPr>
                <w:rFonts w:ascii="Titillium Web" w:hAnsi="Titillium Web"/>
                <w:szCs w:val="24"/>
              </w:rPr>
              <w:t>1,15 m</w:t>
            </w:r>
          </w:p>
        </w:tc>
      </w:tr>
      <w:tr w:rsidR="0086297F" w:rsidRPr="004B47F7" w14:paraId="75BC79FE" w14:textId="77777777" w:rsidTr="002665C6">
        <w:trPr>
          <w:jc w:val="center"/>
        </w:trPr>
        <w:tc>
          <w:tcPr>
            <w:tcW w:w="1650" w:type="pct"/>
            <w:vAlign w:val="center"/>
          </w:tcPr>
          <w:p w14:paraId="432462C5" w14:textId="77777777" w:rsidR="0086297F" w:rsidRPr="004B47F7" w:rsidRDefault="0086297F" w:rsidP="002665C6">
            <w:pPr>
              <w:jc w:val="center"/>
              <w:rPr>
                <w:rFonts w:ascii="Titillium Web" w:hAnsi="Titillium Web"/>
                <w:smallCaps/>
                <w:szCs w:val="24"/>
              </w:rPr>
            </w:pPr>
            <w:r w:rsidRPr="004B47F7">
              <w:rPr>
                <w:rFonts w:ascii="Titillium Web" w:hAnsi="Titillium Web"/>
                <w:smallCaps/>
                <w:szCs w:val="24"/>
              </w:rPr>
              <w:t>Dimensioni della sepoltura</w:t>
            </w:r>
          </w:p>
        </w:tc>
        <w:tc>
          <w:tcPr>
            <w:tcW w:w="3350" w:type="pct"/>
            <w:vAlign w:val="center"/>
          </w:tcPr>
          <w:p w14:paraId="65EDFAD4" w14:textId="5859930D" w:rsidR="0086297F" w:rsidRPr="004B47F7" w:rsidRDefault="0086297F" w:rsidP="002665C6">
            <w:pPr>
              <w:jc w:val="center"/>
              <w:rPr>
                <w:rFonts w:ascii="Titillium Web" w:hAnsi="Titillium Web"/>
                <w:szCs w:val="24"/>
              </w:rPr>
            </w:pPr>
            <w:r w:rsidRPr="004B47F7">
              <w:rPr>
                <w:rFonts w:ascii="Titillium Web" w:hAnsi="Titillium Web"/>
                <w:szCs w:val="24"/>
              </w:rPr>
              <w:t>2,95x1,9</w:t>
            </w:r>
          </w:p>
        </w:tc>
      </w:tr>
      <w:tr w:rsidR="0086297F" w:rsidRPr="004B47F7" w14:paraId="35E5C09E" w14:textId="77777777" w:rsidTr="002665C6">
        <w:trPr>
          <w:jc w:val="center"/>
        </w:trPr>
        <w:tc>
          <w:tcPr>
            <w:tcW w:w="1650" w:type="pct"/>
            <w:vAlign w:val="center"/>
          </w:tcPr>
          <w:p w14:paraId="5AA10374" w14:textId="77777777" w:rsidR="0086297F" w:rsidRPr="004B47F7" w:rsidRDefault="0086297F" w:rsidP="002665C6">
            <w:pPr>
              <w:jc w:val="center"/>
              <w:rPr>
                <w:rFonts w:ascii="Titillium Web" w:hAnsi="Titillium Web"/>
                <w:smallCaps/>
                <w:szCs w:val="24"/>
              </w:rPr>
            </w:pPr>
            <w:r w:rsidRPr="004B47F7">
              <w:rPr>
                <w:rFonts w:ascii="Titillium Web" w:hAnsi="Titillium Web"/>
                <w:smallCaps/>
                <w:szCs w:val="24"/>
              </w:rPr>
              <w:t>Orientamento dello scheletro</w:t>
            </w:r>
          </w:p>
        </w:tc>
        <w:tc>
          <w:tcPr>
            <w:tcW w:w="3350" w:type="pct"/>
            <w:vAlign w:val="center"/>
          </w:tcPr>
          <w:p w14:paraId="6E0E4E7B" w14:textId="7F6B3E0C" w:rsidR="0086297F" w:rsidRPr="004B47F7" w:rsidRDefault="0086297F" w:rsidP="002665C6">
            <w:pPr>
              <w:jc w:val="center"/>
              <w:rPr>
                <w:rFonts w:ascii="Titillium Web" w:hAnsi="Titillium Web"/>
                <w:szCs w:val="24"/>
              </w:rPr>
            </w:pPr>
            <w:r w:rsidRPr="004B47F7">
              <w:rPr>
                <w:rFonts w:ascii="Titillium Web" w:hAnsi="Titillium Web"/>
                <w:szCs w:val="24"/>
              </w:rPr>
              <w:t>NW-SE</w:t>
            </w:r>
          </w:p>
        </w:tc>
      </w:tr>
      <w:tr w:rsidR="0086297F" w:rsidRPr="004B47F7" w14:paraId="71236441" w14:textId="77777777" w:rsidTr="002665C6">
        <w:trPr>
          <w:jc w:val="center"/>
        </w:trPr>
        <w:tc>
          <w:tcPr>
            <w:tcW w:w="1650" w:type="pct"/>
            <w:vAlign w:val="center"/>
          </w:tcPr>
          <w:p w14:paraId="4A1B31A8" w14:textId="77777777" w:rsidR="0086297F" w:rsidRPr="004B47F7" w:rsidRDefault="0086297F" w:rsidP="002665C6">
            <w:pPr>
              <w:jc w:val="center"/>
              <w:rPr>
                <w:rFonts w:ascii="Titillium Web" w:hAnsi="Titillium Web"/>
                <w:smallCaps/>
                <w:szCs w:val="24"/>
              </w:rPr>
            </w:pPr>
            <w:r w:rsidRPr="004B47F7">
              <w:rPr>
                <w:rFonts w:ascii="Titillium Web" w:hAnsi="Titillium Web"/>
                <w:smallCaps/>
                <w:szCs w:val="24"/>
              </w:rPr>
              <w:t>Segnacolo</w:t>
            </w:r>
          </w:p>
        </w:tc>
        <w:tc>
          <w:tcPr>
            <w:tcW w:w="3350" w:type="pct"/>
            <w:vAlign w:val="center"/>
          </w:tcPr>
          <w:p w14:paraId="104CE615" w14:textId="50385AE1" w:rsidR="0086297F" w:rsidRPr="004B47F7" w:rsidRDefault="0086297F" w:rsidP="002665C6">
            <w:pPr>
              <w:jc w:val="center"/>
              <w:rPr>
                <w:rFonts w:ascii="Titillium Web" w:hAnsi="Titillium Web"/>
                <w:szCs w:val="24"/>
              </w:rPr>
            </w:pPr>
            <w:r w:rsidRPr="004B47F7">
              <w:rPr>
                <w:rFonts w:ascii="Titillium Web" w:hAnsi="Titillium Web"/>
                <w:szCs w:val="24"/>
              </w:rPr>
              <w:t>/</w:t>
            </w:r>
          </w:p>
        </w:tc>
      </w:tr>
      <w:tr w:rsidR="0086297F" w:rsidRPr="004B47F7" w14:paraId="6D6CBA71" w14:textId="77777777" w:rsidTr="002665C6">
        <w:trPr>
          <w:jc w:val="center"/>
        </w:trPr>
        <w:tc>
          <w:tcPr>
            <w:tcW w:w="1650" w:type="pct"/>
            <w:vAlign w:val="center"/>
          </w:tcPr>
          <w:p w14:paraId="75CA0D64" w14:textId="77777777" w:rsidR="0086297F" w:rsidRPr="004B47F7" w:rsidRDefault="0086297F" w:rsidP="002665C6">
            <w:pPr>
              <w:jc w:val="center"/>
              <w:rPr>
                <w:rFonts w:ascii="Titillium Web" w:hAnsi="Titillium Web"/>
                <w:smallCaps/>
                <w:szCs w:val="24"/>
              </w:rPr>
            </w:pPr>
            <w:r w:rsidRPr="004B47F7">
              <w:rPr>
                <w:rFonts w:ascii="Titillium Web" w:hAnsi="Titillium Web"/>
                <w:smallCaps/>
                <w:szCs w:val="24"/>
              </w:rPr>
              <w:t>Giornale di scavo</w:t>
            </w:r>
          </w:p>
        </w:tc>
        <w:tc>
          <w:tcPr>
            <w:tcW w:w="3350" w:type="pct"/>
            <w:vAlign w:val="center"/>
          </w:tcPr>
          <w:p w14:paraId="1228739F" w14:textId="77777777" w:rsidR="00007F83" w:rsidRPr="004B47F7" w:rsidRDefault="000D2647">
            <w:pPr>
              <w:rPr>
                <w:rFonts w:ascii="Titillium Web" w:hAnsi="Titillium Web"/>
                <w:i/>
                <w:iCs/>
                <w:szCs w:val="24"/>
              </w:rPr>
            </w:pPr>
            <w:r w:rsidRPr="004B47F7">
              <w:rPr>
                <w:rFonts w:ascii="Titillium Web" w:hAnsi="Titillium Web"/>
                <w:i/>
                <w:iCs/>
                <w:szCs w:val="24"/>
              </w:rPr>
              <w:t>Tomba 1182, a umazione</w:t>
            </w:r>
          </w:p>
          <w:p w14:paraId="34E84326" w14:textId="77777777" w:rsidR="00007F83" w:rsidRPr="004B47F7" w:rsidRDefault="000D2647">
            <w:pPr>
              <w:rPr>
                <w:rFonts w:ascii="Titillium Web" w:hAnsi="Titillium Web"/>
                <w:i/>
                <w:iCs/>
                <w:szCs w:val="24"/>
              </w:rPr>
            </w:pPr>
            <w:r w:rsidRPr="004B47F7">
              <w:rPr>
                <w:rFonts w:ascii="Titillium Web" w:hAnsi="Titillium Web"/>
                <w:i/>
                <w:iCs/>
                <w:szCs w:val="24"/>
              </w:rPr>
              <w:t>Uno strato di calce era sparso su tutta la tomba. Tronchi della cassa erano sottili e marciti, il tavolato del fondo si nota in tutta la tomba.</w:t>
            </w:r>
          </w:p>
          <w:p w14:paraId="4D64DEF9" w14:textId="77777777" w:rsidR="00007F83" w:rsidRPr="004B47F7" w:rsidRDefault="000D2647">
            <w:pPr>
              <w:rPr>
                <w:rFonts w:ascii="Titillium Web" w:hAnsi="Titillium Web"/>
                <w:i/>
                <w:iCs/>
                <w:szCs w:val="24"/>
              </w:rPr>
            </w:pPr>
            <w:r w:rsidRPr="004B47F7">
              <w:rPr>
                <w:rFonts w:ascii="Titillium Web" w:hAnsi="Titillium Web"/>
                <w:i/>
                <w:iCs/>
                <w:szCs w:val="24"/>
              </w:rPr>
              <w:t>A m. 71 dal Donna Bianca, a m. 42.30 a levante della poderale e a m. 1,15 di profondità poggiava una tomba a umazione, composta di cassa di legno con tronchetti di quercia alle pareti.</w:t>
            </w:r>
          </w:p>
          <w:p w14:paraId="31CACBF4" w14:textId="77777777" w:rsidR="00007F83" w:rsidRPr="004B47F7" w:rsidRDefault="000D2647">
            <w:pPr>
              <w:rPr>
                <w:rFonts w:ascii="Titillium Web" w:hAnsi="Titillium Web"/>
                <w:i/>
                <w:iCs/>
                <w:szCs w:val="24"/>
              </w:rPr>
            </w:pPr>
            <w:r w:rsidRPr="004B47F7">
              <w:rPr>
                <w:rFonts w:ascii="Titillium Web" w:hAnsi="Titillium Web"/>
                <w:i/>
                <w:iCs/>
                <w:szCs w:val="24"/>
              </w:rPr>
              <w:t>La cassa aveva il fondo di legno e forse anche il coperchio, poiché varie traccie ne furono scorte nella parte superiore assieme ad uno strato denso di calce.</w:t>
            </w:r>
          </w:p>
          <w:p w14:paraId="4BFF0CC8" w14:textId="77777777" w:rsidR="00007F83" w:rsidRPr="004B47F7" w:rsidRDefault="000D2647">
            <w:pPr>
              <w:rPr>
                <w:rFonts w:ascii="Titillium Web" w:hAnsi="Titillium Web"/>
                <w:i/>
                <w:iCs/>
                <w:szCs w:val="24"/>
              </w:rPr>
            </w:pPr>
            <w:r w:rsidRPr="004B47F7">
              <w:rPr>
                <w:rFonts w:ascii="Titillium Web" w:hAnsi="Titillium Web"/>
                <w:i/>
                <w:iCs/>
                <w:szCs w:val="24"/>
              </w:rPr>
              <w:t xml:space="preserve">La cassa come lo scheletro </w:t>
            </w:r>
            <w:proofErr w:type="gramStart"/>
            <w:r w:rsidRPr="004B47F7">
              <w:rPr>
                <w:rFonts w:ascii="Titillium Web" w:hAnsi="Titillium Web"/>
                <w:i/>
                <w:iCs/>
                <w:szCs w:val="24"/>
              </w:rPr>
              <w:t>erano orientati</w:t>
            </w:r>
            <w:proofErr w:type="gramEnd"/>
            <w:r w:rsidRPr="004B47F7">
              <w:rPr>
                <w:rFonts w:ascii="Titillium Web" w:hAnsi="Titillium Web"/>
                <w:i/>
                <w:iCs/>
                <w:szCs w:val="24"/>
              </w:rPr>
              <w:t xml:space="preserve"> a nord-ovest.</w:t>
            </w:r>
          </w:p>
          <w:p w14:paraId="129A36E4" w14:textId="77777777" w:rsidR="00007F83" w:rsidRPr="004B47F7" w:rsidRDefault="000D2647">
            <w:pPr>
              <w:rPr>
                <w:rFonts w:ascii="Titillium Web" w:hAnsi="Titillium Web"/>
                <w:i/>
                <w:iCs/>
                <w:szCs w:val="24"/>
              </w:rPr>
            </w:pPr>
            <w:r w:rsidRPr="004B47F7">
              <w:rPr>
                <w:rFonts w:ascii="Titillium Web" w:hAnsi="Titillium Web"/>
                <w:i/>
                <w:iCs/>
                <w:szCs w:val="24"/>
              </w:rPr>
              <w:t>I lati lunghi della cassa misurano m. 2,95 e i corti 1,90.</w:t>
            </w:r>
          </w:p>
          <w:p w14:paraId="41388153" w14:textId="77777777" w:rsidR="00007F83" w:rsidRPr="004B47F7" w:rsidRDefault="000D2647">
            <w:pPr>
              <w:rPr>
                <w:rFonts w:ascii="Titillium Web" w:hAnsi="Titillium Web"/>
                <w:i/>
                <w:iCs/>
                <w:szCs w:val="24"/>
              </w:rPr>
            </w:pPr>
            <w:r w:rsidRPr="004B47F7">
              <w:rPr>
                <w:rFonts w:ascii="Titillium Web" w:hAnsi="Titillium Web"/>
                <w:i/>
                <w:iCs/>
                <w:szCs w:val="24"/>
              </w:rPr>
              <w:t xml:space="preserve">Entro la cassa si rinvenne un piccolo e sottile tronchetto di legno che divideva in </w:t>
            </w:r>
            <w:proofErr w:type="gramStart"/>
            <w:r w:rsidRPr="004B47F7">
              <w:rPr>
                <w:rFonts w:ascii="Titillium Web" w:hAnsi="Titillium Web"/>
                <w:i/>
                <w:iCs/>
                <w:szCs w:val="24"/>
              </w:rPr>
              <w:t>2</w:t>
            </w:r>
            <w:proofErr w:type="gramEnd"/>
            <w:r w:rsidRPr="004B47F7">
              <w:rPr>
                <w:rFonts w:ascii="Titillium Web" w:hAnsi="Titillium Web"/>
                <w:i/>
                <w:iCs/>
                <w:szCs w:val="24"/>
              </w:rPr>
              <w:t xml:space="preserve"> scomparti la tomba; a destra stava lo scheletro; a sinistra il materiale archeologico (suppellettili).</w:t>
            </w:r>
          </w:p>
          <w:p w14:paraId="2FC62558" w14:textId="77777777" w:rsidR="00007F83" w:rsidRPr="004B47F7" w:rsidRDefault="000D2647">
            <w:pPr>
              <w:rPr>
                <w:rFonts w:ascii="Titillium Web" w:hAnsi="Titillium Web"/>
                <w:i/>
                <w:iCs/>
                <w:szCs w:val="24"/>
              </w:rPr>
            </w:pPr>
            <w:r w:rsidRPr="004B47F7">
              <w:rPr>
                <w:rFonts w:ascii="Titillium Web" w:hAnsi="Titillium Web"/>
                <w:i/>
                <w:iCs/>
                <w:szCs w:val="24"/>
              </w:rPr>
              <w:t>Lo scheletro era quasi consumato fra lo strato di calce; misurava m. 1,50 senza le ossa dei piedi che non si rinvennero, forse consumate dalla calce.</w:t>
            </w:r>
          </w:p>
          <w:p w14:paraId="5F9372CA" w14:textId="77777777" w:rsidR="00007F83" w:rsidRPr="004B47F7" w:rsidRDefault="000D2647">
            <w:pPr>
              <w:rPr>
                <w:rFonts w:ascii="Titillium Web" w:hAnsi="Titillium Web"/>
                <w:i/>
                <w:iCs/>
                <w:szCs w:val="24"/>
              </w:rPr>
            </w:pPr>
            <w:r w:rsidRPr="004B47F7">
              <w:rPr>
                <w:rFonts w:ascii="Titillium Web" w:hAnsi="Titillium Web"/>
                <w:i/>
                <w:iCs/>
                <w:szCs w:val="24"/>
              </w:rPr>
              <w:t>Presso il piede sinistro dello scheletro si rinvennero:</w:t>
            </w:r>
          </w:p>
          <w:p w14:paraId="36A796B6" w14:textId="77777777" w:rsidR="00007F83" w:rsidRPr="004B47F7" w:rsidRDefault="000D2647">
            <w:pPr>
              <w:rPr>
                <w:rFonts w:ascii="Titillium Web" w:hAnsi="Titillium Web"/>
                <w:i/>
                <w:iCs/>
                <w:szCs w:val="24"/>
              </w:rPr>
            </w:pPr>
            <w:proofErr w:type="gramStart"/>
            <w:r w:rsidRPr="004B47F7">
              <w:rPr>
                <w:rFonts w:ascii="Titillium Web" w:hAnsi="Titillium Web"/>
                <w:i/>
                <w:iCs/>
                <w:szCs w:val="24"/>
              </w:rPr>
              <w:t>2</w:t>
            </w:r>
            <w:proofErr w:type="gramEnd"/>
            <w:r w:rsidRPr="004B47F7">
              <w:rPr>
                <w:rFonts w:ascii="Titillium Web" w:hAnsi="Titillium Web"/>
                <w:i/>
                <w:iCs/>
                <w:szCs w:val="24"/>
              </w:rPr>
              <w:t xml:space="preserve"> balsamari fittili con tracce di pittura in bianco. Interi. tipo alabastron.</w:t>
            </w:r>
          </w:p>
          <w:p w14:paraId="564D8A19" w14:textId="77777777" w:rsidR="00007F83" w:rsidRPr="004B47F7" w:rsidRDefault="000D2647">
            <w:pPr>
              <w:rPr>
                <w:rFonts w:ascii="Titillium Web" w:hAnsi="Titillium Web"/>
                <w:i/>
                <w:iCs/>
                <w:szCs w:val="24"/>
              </w:rPr>
            </w:pPr>
            <w:r w:rsidRPr="004B47F7">
              <w:rPr>
                <w:rFonts w:ascii="Titillium Web" w:hAnsi="Titillium Web"/>
                <w:i/>
                <w:iCs/>
                <w:szCs w:val="24"/>
              </w:rPr>
              <w:t>Presso il bordo (tronchetto) corto, dalla parte di levante (ai piedi dello scheletro)</w:t>
            </w:r>
          </w:p>
          <w:p w14:paraId="77B7D3F2" w14:textId="77777777" w:rsidR="00007F83" w:rsidRPr="004B47F7" w:rsidRDefault="000D2647">
            <w:pPr>
              <w:rPr>
                <w:rFonts w:ascii="Titillium Web" w:hAnsi="Titillium Web"/>
                <w:i/>
                <w:iCs/>
                <w:szCs w:val="24"/>
              </w:rPr>
            </w:pPr>
            <w:r w:rsidRPr="004B47F7">
              <w:rPr>
                <w:rFonts w:ascii="Titillium Web" w:hAnsi="Titillium Web"/>
                <w:i/>
                <w:iCs/>
                <w:szCs w:val="24"/>
              </w:rPr>
              <w:t>1 cotile a piede stretto di forma emisferica, a vern. nera scadente, in frammenti.</w:t>
            </w:r>
          </w:p>
          <w:p w14:paraId="624AD636" w14:textId="77777777" w:rsidR="00007F83" w:rsidRPr="004B47F7" w:rsidRDefault="000D2647">
            <w:pPr>
              <w:rPr>
                <w:rFonts w:ascii="Titillium Web" w:hAnsi="Titillium Web"/>
                <w:i/>
                <w:iCs/>
                <w:szCs w:val="24"/>
              </w:rPr>
            </w:pPr>
            <w:r w:rsidRPr="004B47F7">
              <w:rPr>
                <w:rFonts w:ascii="Titillium Web" w:hAnsi="Titillium Web"/>
                <w:i/>
                <w:iCs/>
                <w:szCs w:val="24"/>
              </w:rPr>
              <w:lastRenderedPageBreak/>
              <w:t>Nello scomparto destro della tomba, nell’angolo sud-ovest:</w:t>
            </w:r>
          </w:p>
          <w:p w14:paraId="6C08B3A6" w14:textId="77777777" w:rsidR="00007F83" w:rsidRPr="004B47F7" w:rsidRDefault="000D2647">
            <w:pPr>
              <w:rPr>
                <w:rFonts w:ascii="Titillium Web" w:hAnsi="Titillium Web"/>
                <w:i/>
                <w:iCs/>
                <w:szCs w:val="24"/>
              </w:rPr>
            </w:pPr>
            <w:r w:rsidRPr="004B47F7">
              <w:rPr>
                <w:rFonts w:ascii="Titillium Web" w:hAnsi="Titillium Web"/>
                <w:i/>
                <w:iCs/>
                <w:szCs w:val="24"/>
              </w:rPr>
              <w:t>1 anfora comune, grezza, puntuta, intera era piantata ritta, e appoggiato al ventre dell’anfora era:</w:t>
            </w:r>
          </w:p>
          <w:p w14:paraId="24E0E5EF" w14:textId="77777777" w:rsidR="00007F83" w:rsidRPr="004B47F7" w:rsidRDefault="000D2647">
            <w:pPr>
              <w:rPr>
                <w:rFonts w:ascii="Titillium Web" w:hAnsi="Titillium Web"/>
                <w:i/>
                <w:iCs/>
                <w:szCs w:val="24"/>
              </w:rPr>
            </w:pPr>
            <w:r w:rsidRPr="004B47F7">
              <w:rPr>
                <w:rFonts w:ascii="Titillium Web" w:hAnsi="Titillium Web"/>
                <w:i/>
                <w:iCs/>
                <w:szCs w:val="24"/>
              </w:rPr>
              <w:t>1 candelabro di ferro, a 3 piedi, ridotto dall’ossido a informi frammenti.</w:t>
            </w:r>
          </w:p>
          <w:p w14:paraId="62E1DAC3" w14:textId="77777777" w:rsidR="00007F83" w:rsidRPr="004B47F7" w:rsidRDefault="000D2647">
            <w:pPr>
              <w:rPr>
                <w:rFonts w:ascii="Titillium Web" w:hAnsi="Titillium Web"/>
                <w:i/>
                <w:iCs/>
                <w:szCs w:val="24"/>
              </w:rPr>
            </w:pPr>
            <w:r w:rsidRPr="004B47F7">
              <w:rPr>
                <w:rFonts w:ascii="Titillium Web" w:hAnsi="Titillium Web"/>
                <w:i/>
                <w:iCs/>
                <w:szCs w:val="24"/>
              </w:rPr>
              <w:t>- Altro blocco informe di ferro ossidato si rinvenne a circa metà lunghezza presso il trave lungo della cassa.</w:t>
            </w:r>
          </w:p>
          <w:p w14:paraId="0D925BFC" w14:textId="77777777" w:rsidR="00007F83" w:rsidRPr="004B47F7" w:rsidRDefault="000D2647">
            <w:pPr>
              <w:rPr>
                <w:rFonts w:ascii="Titillium Web" w:hAnsi="Titillium Web"/>
                <w:i/>
                <w:iCs/>
                <w:szCs w:val="24"/>
              </w:rPr>
            </w:pPr>
            <w:r w:rsidRPr="004B47F7">
              <w:rPr>
                <w:rFonts w:ascii="Titillium Web" w:hAnsi="Titillium Web"/>
                <w:i/>
                <w:iCs/>
                <w:szCs w:val="24"/>
              </w:rPr>
              <w:t>I fittili, la maggior parte erano disposti ad intervalli nello scomparto, lungo il fianco destro dello scheletro</w:t>
            </w:r>
          </w:p>
          <w:p w14:paraId="42DF90AA" w14:textId="77777777" w:rsidR="00007F83" w:rsidRPr="004B47F7" w:rsidRDefault="000D2647">
            <w:pPr>
              <w:rPr>
                <w:rFonts w:ascii="Titillium Web" w:hAnsi="Titillium Web"/>
                <w:i/>
                <w:iCs/>
                <w:szCs w:val="24"/>
              </w:rPr>
            </w:pPr>
            <w:proofErr w:type="gramStart"/>
            <w:r w:rsidRPr="004B47F7">
              <w:rPr>
                <w:rFonts w:ascii="Titillium Web" w:hAnsi="Titillium Web"/>
                <w:i/>
                <w:iCs/>
                <w:szCs w:val="24"/>
              </w:rPr>
              <w:t>2</w:t>
            </w:r>
            <w:proofErr w:type="gramEnd"/>
            <w:r w:rsidRPr="004B47F7">
              <w:rPr>
                <w:rFonts w:ascii="Titillium Web" w:hAnsi="Titillium Web"/>
                <w:i/>
                <w:iCs/>
                <w:szCs w:val="24"/>
              </w:rPr>
              <w:t xml:space="preserve"> grandi scodelle con piede a listello, a vern. nera scadente, con palmette impresse nell’interno, sono intere</w:t>
            </w:r>
          </w:p>
          <w:p w14:paraId="15BD937D" w14:textId="77777777" w:rsidR="00007F83" w:rsidRPr="004B47F7" w:rsidRDefault="000D2647">
            <w:pPr>
              <w:rPr>
                <w:rFonts w:ascii="Titillium Web" w:hAnsi="Titillium Web"/>
                <w:i/>
                <w:iCs/>
                <w:szCs w:val="24"/>
              </w:rPr>
            </w:pPr>
            <w:r w:rsidRPr="004B47F7">
              <w:rPr>
                <w:rFonts w:ascii="Titillium Web" w:hAnsi="Titillium Web"/>
                <w:i/>
                <w:iCs/>
                <w:szCs w:val="24"/>
              </w:rPr>
              <w:t>1 altro cotile uguale al precedente, ha un’ansa staccata</w:t>
            </w:r>
          </w:p>
          <w:p w14:paraId="24CFF210" w14:textId="77777777" w:rsidR="00007F83" w:rsidRPr="004B47F7" w:rsidRDefault="000D2647">
            <w:pPr>
              <w:rPr>
                <w:rFonts w:ascii="Titillium Web" w:hAnsi="Titillium Web"/>
                <w:i/>
                <w:iCs/>
                <w:szCs w:val="24"/>
              </w:rPr>
            </w:pPr>
            <w:r w:rsidRPr="004B47F7">
              <w:rPr>
                <w:rFonts w:ascii="Titillium Web" w:hAnsi="Titillium Web"/>
                <w:i/>
                <w:iCs/>
                <w:szCs w:val="24"/>
              </w:rPr>
              <w:t>1 lekane con disegno del coperchio di palmette, di disegno strapazzato, a vern. nera.</w:t>
            </w:r>
          </w:p>
          <w:p w14:paraId="58860682" w14:textId="77777777" w:rsidR="00007F83" w:rsidRPr="004B47F7" w:rsidRDefault="000D2647">
            <w:pPr>
              <w:rPr>
                <w:rFonts w:ascii="Titillium Web" w:hAnsi="Titillium Web"/>
                <w:i/>
                <w:iCs/>
                <w:szCs w:val="24"/>
              </w:rPr>
            </w:pPr>
            <w:r w:rsidRPr="004B47F7">
              <w:rPr>
                <w:rFonts w:ascii="Titillium Web" w:hAnsi="Titillium Web"/>
                <w:i/>
                <w:iCs/>
                <w:szCs w:val="24"/>
              </w:rPr>
              <w:t xml:space="preserve">Il coperchio è rotto in </w:t>
            </w:r>
            <w:proofErr w:type="gramStart"/>
            <w:r w:rsidRPr="004B47F7">
              <w:rPr>
                <w:rFonts w:ascii="Titillium Web" w:hAnsi="Titillium Web"/>
                <w:i/>
                <w:iCs/>
                <w:szCs w:val="24"/>
              </w:rPr>
              <w:t>4</w:t>
            </w:r>
            <w:proofErr w:type="gramEnd"/>
            <w:r w:rsidRPr="004B47F7">
              <w:rPr>
                <w:rFonts w:ascii="Titillium Web" w:hAnsi="Titillium Web"/>
                <w:i/>
                <w:iCs/>
                <w:szCs w:val="24"/>
              </w:rPr>
              <w:t xml:space="preserve"> pezzi ma restaurabile</w:t>
            </w:r>
          </w:p>
          <w:p w14:paraId="28B499FF" w14:textId="77777777" w:rsidR="00007F83" w:rsidRPr="004B47F7" w:rsidRDefault="000D2647">
            <w:pPr>
              <w:rPr>
                <w:rFonts w:ascii="Titillium Web" w:hAnsi="Titillium Web"/>
                <w:i/>
                <w:iCs/>
                <w:szCs w:val="24"/>
              </w:rPr>
            </w:pPr>
            <w:proofErr w:type="gramStart"/>
            <w:r w:rsidRPr="004B47F7">
              <w:rPr>
                <w:rFonts w:ascii="Titillium Web" w:hAnsi="Titillium Web"/>
                <w:i/>
                <w:iCs/>
                <w:szCs w:val="24"/>
              </w:rPr>
              <w:t>4</w:t>
            </w:r>
            <w:proofErr w:type="gramEnd"/>
            <w:r w:rsidRPr="004B47F7">
              <w:rPr>
                <w:rFonts w:ascii="Titillium Web" w:hAnsi="Titillium Web"/>
                <w:i/>
                <w:iCs/>
                <w:szCs w:val="24"/>
              </w:rPr>
              <w:t xml:space="preserve"> scodelle di media grandezza, a vern. nera scadente, con palmette impresse nell’interno (una è in frammenti)</w:t>
            </w:r>
          </w:p>
          <w:p w14:paraId="33848D46" w14:textId="77777777" w:rsidR="00007F83" w:rsidRPr="004B47F7" w:rsidRDefault="000D2647">
            <w:pPr>
              <w:rPr>
                <w:rFonts w:ascii="Titillium Web" w:hAnsi="Titillium Web"/>
                <w:i/>
                <w:iCs/>
                <w:szCs w:val="24"/>
              </w:rPr>
            </w:pPr>
            <w:proofErr w:type="gramStart"/>
            <w:r w:rsidRPr="004B47F7">
              <w:rPr>
                <w:rFonts w:ascii="Titillium Web" w:hAnsi="Titillium Web"/>
                <w:i/>
                <w:iCs/>
                <w:szCs w:val="24"/>
              </w:rPr>
              <w:t>6</w:t>
            </w:r>
            <w:proofErr w:type="gramEnd"/>
            <w:r w:rsidRPr="004B47F7">
              <w:rPr>
                <w:rFonts w:ascii="Titillium Web" w:hAnsi="Titillium Web"/>
                <w:i/>
                <w:iCs/>
                <w:szCs w:val="24"/>
              </w:rPr>
              <w:t xml:space="preserve"> piccoli piattelli con pieduccio, di argilla cenerognola, grezzi (uno in frammenti)</w:t>
            </w:r>
          </w:p>
          <w:p w14:paraId="7F2C94C3" w14:textId="77777777" w:rsidR="00007F83" w:rsidRPr="004B47F7" w:rsidRDefault="000D2647">
            <w:pPr>
              <w:rPr>
                <w:rFonts w:ascii="Titillium Web" w:hAnsi="Titillium Web"/>
                <w:i/>
                <w:iCs/>
                <w:szCs w:val="24"/>
              </w:rPr>
            </w:pPr>
            <w:r w:rsidRPr="004B47F7">
              <w:rPr>
                <w:rFonts w:ascii="Titillium Web" w:hAnsi="Titillium Web"/>
                <w:i/>
                <w:iCs/>
                <w:szCs w:val="24"/>
              </w:rPr>
              <w:t>Altre due tazzette completamente marcite non furono raccolte.</w:t>
            </w:r>
          </w:p>
          <w:p w14:paraId="6C53F0FA" w14:textId="77777777" w:rsidR="00007F83" w:rsidRPr="004B47F7" w:rsidRDefault="000D2647">
            <w:pPr>
              <w:rPr>
                <w:rFonts w:ascii="Titillium Web" w:hAnsi="Titillium Web"/>
                <w:i/>
                <w:iCs/>
                <w:szCs w:val="24"/>
              </w:rPr>
            </w:pPr>
            <w:r w:rsidRPr="004B47F7">
              <w:rPr>
                <w:rFonts w:ascii="Titillium Web" w:hAnsi="Titillium Web"/>
                <w:i/>
                <w:iCs/>
                <w:szCs w:val="24"/>
              </w:rPr>
              <w:t>Lo strato di humus ha lo spessore di 0.35. In questa tomba si riscontra il fatto interessate, come in tante altre, del materiale fittile che si è ribaltato in maniera disordinata.</w:t>
            </w:r>
          </w:p>
          <w:p w14:paraId="6B5095A3" w14:textId="77777777" w:rsidR="00007F83" w:rsidRPr="004B47F7" w:rsidRDefault="000D2647">
            <w:pPr>
              <w:rPr>
                <w:rFonts w:ascii="Titillium Web" w:hAnsi="Titillium Web"/>
                <w:i/>
                <w:iCs/>
                <w:szCs w:val="24"/>
              </w:rPr>
            </w:pPr>
            <w:r w:rsidRPr="004B47F7">
              <w:rPr>
                <w:rFonts w:ascii="Titillium Web" w:hAnsi="Titillium Web"/>
                <w:i/>
                <w:iCs/>
                <w:szCs w:val="24"/>
              </w:rPr>
              <w:t>Si osserva spesso, essere il materiale fittile dei vasi e delle tazze, sbandato e rovesciato come se un urto alla cassa o una inclinazione da un lato avesse rovesciato il materiale in parola.</w:t>
            </w:r>
          </w:p>
          <w:p w14:paraId="0D8980EF" w14:textId="77777777" w:rsidR="00007F83" w:rsidRPr="004B47F7" w:rsidRDefault="000D2647">
            <w:pPr>
              <w:rPr>
                <w:rFonts w:ascii="Titillium Web" w:hAnsi="Titillium Web"/>
                <w:i/>
                <w:iCs/>
                <w:szCs w:val="24"/>
              </w:rPr>
            </w:pPr>
            <w:r w:rsidRPr="004B47F7">
              <w:rPr>
                <w:rFonts w:ascii="Titillium Web" w:hAnsi="Titillium Web"/>
                <w:i/>
                <w:iCs/>
                <w:szCs w:val="24"/>
              </w:rPr>
              <w:t>Non solo, ma in certi casi si ha la sensazione che tale materiale si sia ribaltato da un piano superiore sul quale fosse precedentemente deposto ordinato in modo da rappresentare una mensa imbandita sempre pronta a disposizione del morto.</w:t>
            </w:r>
          </w:p>
          <w:p w14:paraId="6F2407E5" w14:textId="77777777" w:rsidR="00007F83" w:rsidRPr="004B47F7" w:rsidRDefault="000D2647">
            <w:pPr>
              <w:rPr>
                <w:rFonts w:ascii="Titillium Web" w:hAnsi="Titillium Web"/>
                <w:i/>
                <w:iCs/>
                <w:szCs w:val="24"/>
              </w:rPr>
            </w:pPr>
            <w:r w:rsidRPr="004B47F7">
              <w:rPr>
                <w:rFonts w:ascii="Titillium Web" w:hAnsi="Titillium Web"/>
                <w:i/>
                <w:iCs/>
                <w:szCs w:val="24"/>
              </w:rPr>
              <w:t>Nella suppellettile di questa tomba, il detto materiale è tutto inclinato o rovesciato verso sud-est.</w:t>
            </w:r>
          </w:p>
          <w:p w14:paraId="544FC970" w14:textId="77777777" w:rsidR="00007F83" w:rsidRPr="004B47F7" w:rsidRDefault="000D2647">
            <w:pPr>
              <w:rPr>
                <w:rFonts w:ascii="Titillium Web" w:hAnsi="Titillium Web"/>
                <w:i/>
                <w:iCs/>
                <w:szCs w:val="24"/>
              </w:rPr>
            </w:pPr>
            <w:r w:rsidRPr="004B47F7">
              <w:rPr>
                <w:rFonts w:ascii="Titillium Web" w:hAnsi="Titillium Web"/>
                <w:i/>
                <w:iCs/>
                <w:szCs w:val="24"/>
              </w:rPr>
              <w:t>È dunque ragionato considerare che i vasi e le tazze fossero disposti sopra uno sgabello e disposti ordinatamente a portata di mano del sepolto.</w:t>
            </w:r>
          </w:p>
          <w:p w14:paraId="13EFA13C" w14:textId="77777777" w:rsidR="00007F83" w:rsidRPr="004B47F7" w:rsidRDefault="000D2647">
            <w:pPr>
              <w:rPr>
                <w:rFonts w:ascii="Titillium Web" w:hAnsi="Titillium Web"/>
                <w:i/>
                <w:iCs/>
                <w:szCs w:val="24"/>
              </w:rPr>
            </w:pPr>
            <w:r w:rsidRPr="004B47F7">
              <w:rPr>
                <w:rFonts w:ascii="Titillium Web" w:hAnsi="Titillium Web"/>
                <w:i/>
                <w:iCs/>
                <w:szCs w:val="24"/>
              </w:rPr>
              <w:t>Le pareti lignee della cassa si saranno lentamente marcite assieme al coperchio e saranno crollate entro il sepolcro rovesciando e spostando il materiale fittile.</w:t>
            </w:r>
          </w:p>
        </w:tc>
      </w:tr>
      <w:tr w:rsidR="0086297F" w:rsidRPr="004B47F7" w14:paraId="1429C2F3" w14:textId="77777777" w:rsidTr="002665C6">
        <w:trPr>
          <w:jc w:val="center"/>
        </w:trPr>
        <w:tc>
          <w:tcPr>
            <w:tcW w:w="1650" w:type="pct"/>
            <w:vAlign w:val="center"/>
          </w:tcPr>
          <w:p w14:paraId="7F398080" w14:textId="77777777" w:rsidR="0086297F" w:rsidRPr="004B47F7" w:rsidRDefault="0086297F" w:rsidP="002665C6">
            <w:pPr>
              <w:jc w:val="center"/>
              <w:rPr>
                <w:rFonts w:ascii="Titillium Web" w:hAnsi="Titillium Web"/>
                <w:smallCaps/>
                <w:szCs w:val="24"/>
              </w:rPr>
            </w:pPr>
            <w:r w:rsidRPr="004B47F7">
              <w:rPr>
                <w:rFonts w:ascii="Titillium Web" w:hAnsi="Titillium Web"/>
                <w:smallCaps/>
                <w:szCs w:val="24"/>
              </w:rPr>
              <w:lastRenderedPageBreak/>
              <w:t>Posizione del corredo</w:t>
            </w:r>
          </w:p>
        </w:tc>
        <w:tc>
          <w:tcPr>
            <w:tcW w:w="3350" w:type="pct"/>
            <w:vAlign w:val="center"/>
          </w:tcPr>
          <w:p w14:paraId="5C03ADA7" w14:textId="45411452" w:rsidR="0086297F" w:rsidRPr="004B47F7" w:rsidRDefault="00C928CF" w:rsidP="002665C6">
            <w:pPr>
              <w:jc w:val="center"/>
              <w:rPr>
                <w:rFonts w:ascii="Titillium Web" w:hAnsi="Titillium Web"/>
                <w:szCs w:val="24"/>
              </w:rPr>
            </w:pPr>
            <w:r>
              <w:rPr>
                <w:rFonts w:ascii="Titillium Web" w:hAnsi="Titillium Web"/>
                <w:szCs w:val="24"/>
              </w:rPr>
              <w:t>In gruppo/i attorno ai resti</w:t>
            </w:r>
          </w:p>
        </w:tc>
      </w:tr>
      <w:tr w:rsidR="0086297F" w:rsidRPr="004B47F7" w14:paraId="71A0E4AF" w14:textId="77777777" w:rsidTr="002665C6">
        <w:trPr>
          <w:jc w:val="center"/>
        </w:trPr>
        <w:tc>
          <w:tcPr>
            <w:tcW w:w="1650" w:type="pct"/>
            <w:vAlign w:val="center"/>
          </w:tcPr>
          <w:p w14:paraId="2128B19B" w14:textId="77777777" w:rsidR="0086297F" w:rsidRPr="004B47F7" w:rsidRDefault="0086297F" w:rsidP="002665C6">
            <w:pPr>
              <w:jc w:val="center"/>
              <w:rPr>
                <w:rFonts w:ascii="Titillium Web" w:hAnsi="Titillium Web"/>
                <w:smallCaps/>
                <w:szCs w:val="24"/>
              </w:rPr>
            </w:pPr>
            <w:r w:rsidRPr="004B47F7">
              <w:rPr>
                <w:rFonts w:ascii="Titillium Web" w:hAnsi="Titillium Web"/>
                <w:smallCaps/>
                <w:szCs w:val="24"/>
              </w:rPr>
              <w:t>Genere (legato all’analisi del corredo)</w:t>
            </w:r>
          </w:p>
        </w:tc>
        <w:tc>
          <w:tcPr>
            <w:tcW w:w="3350" w:type="pct"/>
            <w:vAlign w:val="center"/>
          </w:tcPr>
          <w:p w14:paraId="31324C2B" w14:textId="4E55E405" w:rsidR="0086297F" w:rsidRPr="004B47F7" w:rsidRDefault="0086297F" w:rsidP="002665C6">
            <w:pPr>
              <w:jc w:val="center"/>
              <w:rPr>
                <w:rFonts w:ascii="Titillium Web" w:hAnsi="Titillium Web"/>
                <w:szCs w:val="24"/>
              </w:rPr>
            </w:pPr>
            <w:r w:rsidRPr="004B47F7">
              <w:rPr>
                <w:rFonts w:ascii="Titillium Web" w:hAnsi="Titillium Web"/>
                <w:szCs w:val="24"/>
              </w:rPr>
              <w:t>Non determinabile</w:t>
            </w:r>
          </w:p>
        </w:tc>
      </w:tr>
      <w:tr w:rsidR="0086297F" w:rsidRPr="004B47F7" w14:paraId="17633947" w14:textId="77777777" w:rsidTr="002665C6">
        <w:trPr>
          <w:jc w:val="center"/>
        </w:trPr>
        <w:tc>
          <w:tcPr>
            <w:tcW w:w="1650" w:type="pct"/>
            <w:vAlign w:val="center"/>
          </w:tcPr>
          <w:p w14:paraId="44721053" w14:textId="77777777" w:rsidR="0086297F" w:rsidRPr="004B47F7" w:rsidRDefault="0086297F" w:rsidP="002665C6">
            <w:pPr>
              <w:jc w:val="center"/>
              <w:rPr>
                <w:rFonts w:ascii="Titillium Web" w:hAnsi="Titillium Web"/>
                <w:smallCaps/>
                <w:szCs w:val="24"/>
              </w:rPr>
            </w:pPr>
            <w:r w:rsidRPr="004B47F7">
              <w:rPr>
                <w:rFonts w:ascii="Titillium Web" w:hAnsi="Titillium Web"/>
                <w:smallCaps/>
                <w:szCs w:val="24"/>
              </w:rPr>
              <w:t>Sesso (legato alle analisi antropologiche)</w:t>
            </w:r>
          </w:p>
        </w:tc>
        <w:tc>
          <w:tcPr>
            <w:tcW w:w="3350" w:type="pct"/>
            <w:vAlign w:val="center"/>
          </w:tcPr>
          <w:p w14:paraId="66E918A4" w14:textId="50197FF0" w:rsidR="0086297F" w:rsidRPr="004B47F7" w:rsidRDefault="0086297F" w:rsidP="002665C6">
            <w:pPr>
              <w:jc w:val="center"/>
              <w:rPr>
                <w:rFonts w:ascii="Titillium Web" w:hAnsi="Titillium Web"/>
                <w:szCs w:val="24"/>
              </w:rPr>
            </w:pPr>
            <w:r w:rsidRPr="004B47F7">
              <w:rPr>
                <w:rFonts w:ascii="Titillium Web" w:hAnsi="Titillium Web"/>
                <w:szCs w:val="24"/>
              </w:rPr>
              <w:t>Non determinabile</w:t>
            </w:r>
          </w:p>
        </w:tc>
      </w:tr>
      <w:tr w:rsidR="0086297F" w:rsidRPr="004B47F7" w14:paraId="0588946D" w14:textId="77777777" w:rsidTr="002665C6">
        <w:trPr>
          <w:jc w:val="center"/>
        </w:trPr>
        <w:tc>
          <w:tcPr>
            <w:tcW w:w="1650" w:type="pct"/>
            <w:vAlign w:val="center"/>
          </w:tcPr>
          <w:p w14:paraId="54990945" w14:textId="77777777" w:rsidR="0086297F" w:rsidRPr="004B47F7" w:rsidRDefault="0086297F" w:rsidP="002665C6">
            <w:pPr>
              <w:jc w:val="center"/>
              <w:rPr>
                <w:rFonts w:ascii="Titillium Web" w:hAnsi="Titillium Web"/>
                <w:smallCaps/>
                <w:szCs w:val="24"/>
              </w:rPr>
            </w:pPr>
            <w:r w:rsidRPr="004B47F7">
              <w:rPr>
                <w:rFonts w:ascii="Titillium Web" w:hAnsi="Titillium Web"/>
                <w:smallCaps/>
                <w:szCs w:val="24"/>
              </w:rPr>
              <w:t>Classi di età</w:t>
            </w:r>
          </w:p>
        </w:tc>
        <w:tc>
          <w:tcPr>
            <w:tcW w:w="3350" w:type="pct"/>
            <w:vAlign w:val="center"/>
          </w:tcPr>
          <w:p w14:paraId="0E0589EA" w14:textId="7D4DF825" w:rsidR="0086297F" w:rsidRPr="004B47F7" w:rsidRDefault="0086297F" w:rsidP="002665C6">
            <w:pPr>
              <w:jc w:val="center"/>
              <w:rPr>
                <w:rFonts w:ascii="Titillium Web" w:hAnsi="Titillium Web"/>
                <w:szCs w:val="24"/>
              </w:rPr>
            </w:pPr>
            <w:r w:rsidRPr="004B47F7">
              <w:rPr>
                <w:rFonts w:ascii="Titillium Web" w:hAnsi="Titillium Web"/>
                <w:szCs w:val="24"/>
              </w:rPr>
              <w:t>Adulto</w:t>
            </w:r>
          </w:p>
        </w:tc>
      </w:tr>
      <w:tr w:rsidR="0086297F" w:rsidRPr="004B47F7" w14:paraId="1FFA88A1" w14:textId="77777777" w:rsidTr="002665C6">
        <w:trPr>
          <w:jc w:val="center"/>
        </w:trPr>
        <w:tc>
          <w:tcPr>
            <w:tcW w:w="1650" w:type="pct"/>
            <w:vAlign w:val="center"/>
          </w:tcPr>
          <w:p w14:paraId="63B2D8D6" w14:textId="77777777" w:rsidR="0086297F" w:rsidRPr="004B47F7" w:rsidRDefault="0086297F" w:rsidP="002665C6">
            <w:pPr>
              <w:jc w:val="center"/>
              <w:rPr>
                <w:rFonts w:ascii="Titillium Web" w:hAnsi="Titillium Web"/>
                <w:smallCaps/>
                <w:szCs w:val="24"/>
              </w:rPr>
            </w:pPr>
            <w:r w:rsidRPr="004B47F7">
              <w:rPr>
                <w:rFonts w:ascii="Titillium Web" w:hAnsi="Titillium Web"/>
                <w:smallCaps/>
                <w:szCs w:val="24"/>
              </w:rPr>
              <w:t>Bibliografia essenziale</w:t>
            </w:r>
          </w:p>
        </w:tc>
        <w:tc>
          <w:tcPr>
            <w:tcW w:w="3350" w:type="pct"/>
            <w:vAlign w:val="center"/>
          </w:tcPr>
          <w:p w14:paraId="6B094293" w14:textId="77777777" w:rsidR="00007F83" w:rsidRPr="004B47F7" w:rsidRDefault="000D2647" w:rsidP="004B47F7">
            <w:pPr>
              <w:jc w:val="center"/>
              <w:rPr>
                <w:rFonts w:ascii="Titillium Web" w:hAnsi="Titillium Web"/>
                <w:szCs w:val="24"/>
              </w:rPr>
            </w:pPr>
            <w:r w:rsidRPr="004B47F7">
              <w:rPr>
                <w:rFonts w:ascii="Titillium Web" w:eastAsia="Titillium" w:hAnsi="Titillium Web" w:cs="Titillium"/>
                <w:smallCaps/>
                <w:szCs w:val="24"/>
              </w:rPr>
              <w:t>Felletti-Maj</w:t>
            </w:r>
            <w:r w:rsidRPr="004B47F7">
              <w:rPr>
                <w:rFonts w:ascii="Titillium Web" w:eastAsia="Titillium" w:hAnsi="Titillium Web" w:cs="Titillium"/>
                <w:szCs w:val="24"/>
              </w:rPr>
              <w:t xml:space="preserve"> 1940, p. 338; </w:t>
            </w:r>
            <w:r w:rsidRPr="004B47F7">
              <w:rPr>
                <w:rFonts w:ascii="Titillium Web" w:eastAsia="Titillium" w:hAnsi="Titillium Web" w:cs="Titillium"/>
                <w:smallCaps/>
                <w:szCs w:val="24"/>
              </w:rPr>
              <w:t>Desantis</w:t>
            </w:r>
            <w:r w:rsidRPr="004B47F7">
              <w:rPr>
                <w:rFonts w:ascii="Titillium Web" w:eastAsia="Titillium" w:hAnsi="Titillium Web" w:cs="Titillium"/>
                <w:szCs w:val="24"/>
              </w:rPr>
              <w:t xml:space="preserve"> 1993b, pp. 315-316; </w:t>
            </w:r>
            <w:r w:rsidRPr="004B47F7">
              <w:rPr>
                <w:rFonts w:ascii="Titillium Web" w:eastAsia="Titillium" w:hAnsi="Titillium Web" w:cs="Titillium"/>
                <w:smallCaps/>
                <w:szCs w:val="24"/>
              </w:rPr>
              <w:t>Serra</w:t>
            </w:r>
            <w:r w:rsidRPr="004B47F7">
              <w:rPr>
                <w:rFonts w:ascii="Titillium Web" w:eastAsia="Titillium" w:hAnsi="Titillium Web" w:cs="Titillium"/>
                <w:szCs w:val="24"/>
              </w:rPr>
              <w:t xml:space="preserve"> 2016-2017</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07F83"/>
    <w:rsid w:val="00042C80"/>
    <w:rsid w:val="000D72F4"/>
    <w:rsid w:val="000F5EAF"/>
    <w:rsid w:val="001C17CC"/>
    <w:rsid w:val="002977D7"/>
    <w:rsid w:val="00472AF4"/>
    <w:rsid w:val="004B47F7"/>
    <w:rsid w:val="00551AF8"/>
    <w:rsid w:val="005B5AFF"/>
    <w:rsid w:val="006162A4"/>
    <w:rsid w:val="006346F7"/>
    <w:rsid w:val="006D6EFB"/>
    <w:rsid w:val="007145BC"/>
    <w:rsid w:val="00766407"/>
    <w:rsid w:val="0086297F"/>
    <w:rsid w:val="009E4922"/>
    <w:rsid w:val="00AB321D"/>
    <w:rsid w:val="00B165C4"/>
    <w:rsid w:val="00C21EE0"/>
    <w:rsid w:val="00C928CF"/>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586</Words>
  <Characters>3345</Characters>
  <Application>Microsoft Office Word</Application>
  <DocSecurity>0</DocSecurity>
  <Lines>27</Lines>
  <Paragraphs>7</Paragraphs>
  <ScaleCrop>false</ScaleCrop>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8</cp:revision>
  <dcterms:created xsi:type="dcterms:W3CDTF">2026-04-30T12:42:00Z</dcterms:created>
  <dcterms:modified xsi:type="dcterms:W3CDTF">2026-05-15T09:50:00Z</dcterms:modified>
</cp:coreProperties>
</file>