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1266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11266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1266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1266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1266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11266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1266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11266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1266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F63077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Tomba 1183, a umazione</w:t>
            </w:r>
          </w:p>
          <w:p w14:paraId="4CAE0931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- sullo scheletro un lieve strato di calce.</w:t>
            </w:r>
          </w:p>
          <w:p w14:paraId="4BA36CF9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- lo scheletro fu tagliato nella parte inferiore dai lavori dello scorso gennaio per l’estensione degli scassi per piantagioni di vite.</w:t>
            </w:r>
          </w:p>
          <w:p w14:paraId="579873EF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A metri 77 dal Donna Bianca, a m. 44 a levante della poderale e a m. 0,70 di profondità si rinvenne una tomba a umazione, con lo scheletro asportato nella parte inferiore durante i lavori agricoli dello scorso gennaio. Anche in questa tomba si è fatto uso della calce e ne fu trovato un leggero strato sullo scheletro.</w:t>
            </w:r>
          </w:p>
          <w:p w14:paraId="0EA46BBF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Presso il collo dello scheletro si rinvennero:</w:t>
            </w:r>
          </w:p>
          <w:p w14:paraId="54C642A5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1 grosso grano di ambra con foro pervio</w:t>
            </w:r>
          </w:p>
          <w:p w14:paraId="54F79FFD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1 piccolo grano di pasta vitrea, di colore brunastro, con foro passante.</w:t>
            </w:r>
          </w:p>
          <w:p w14:paraId="3AC183E7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Lo scheletro era volto con la fronte verso sud e presso la fronte aveva:</w:t>
            </w:r>
          </w:p>
          <w:p w14:paraId="2CEE0A56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1 guscio d’uovo, in minuti frammenti (non si è potuto raccogliere)</w:t>
            </w:r>
          </w:p>
          <w:p w14:paraId="430F61C7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1 oinochoe a forma di fiasca, con la bocca trilobata, di argilla giallo chiara e disegnato sul ventre un testone e spirali: è intero</w:t>
            </w:r>
          </w:p>
          <w:p w14:paraId="4026F5A5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1 piccolo cotile, imbutiforme, a vernice nera scadente (ha un’ansa staccata)</w:t>
            </w:r>
          </w:p>
          <w:p w14:paraId="31AA996D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1266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1266A">
              <w:rPr>
                <w:rFonts w:ascii="Titillium Web" w:hAnsi="Titillium Web"/>
                <w:i/>
                <w:iCs/>
                <w:szCs w:val="24"/>
              </w:rPr>
              <w:t xml:space="preserve"> tazzette con piede a listello, a vernice nera scadente e con palmette impresse nell’interno. Sono intere.</w:t>
            </w:r>
          </w:p>
          <w:p w14:paraId="78CCC64F" w14:textId="77777777" w:rsidR="004F3CBC" w:rsidRPr="0011266A" w:rsidRDefault="00DB077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1266A">
              <w:rPr>
                <w:rFonts w:ascii="Titillium Web" w:hAnsi="Titillium Web"/>
                <w:i/>
                <w:iCs/>
                <w:szCs w:val="24"/>
              </w:rPr>
              <w:t>Nessuna traccia del legno della cassa.</w:t>
            </w:r>
          </w:p>
        </w:tc>
      </w:tr>
      <w:tr w:rsidR="0086297F" w:rsidRPr="0011266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1266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1266A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11266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1266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126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1266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126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1266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E0AB20" w14:textId="77777777" w:rsidR="004F3CBC" w:rsidRPr="0011266A" w:rsidRDefault="00DB0774" w:rsidP="0011266A">
            <w:pPr>
              <w:jc w:val="center"/>
              <w:rPr>
                <w:rFonts w:ascii="Titillium Web" w:hAnsi="Titillium Web"/>
                <w:szCs w:val="24"/>
              </w:rPr>
            </w:pPr>
            <w:r w:rsidRPr="0011266A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11266A">
              <w:rPr>
                <w:rFonts w:ascii="Titillium Web" w:eastAsia="Titillium" w:hAnsi="Titillium Web" w:cs="Titillium"/>
                <w:szCs w:val="24"/>
              </w:rPr>
              <w:t xml:space="preserve"> 1940, p. 338; </w:t>
            </w:r>
            <w:r w:rsidRPr="0011266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1266A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1266A"/>
    <w:rsid w:val="001C17CC"/>
    <w:rsid w:val="002977D7"/>
    <w:rsid w:val="00472AF4"/>
    <w:rsid w:val="004F3CBC"/>
    <w:rsid w:val="00551AF8"/>
    <w:rsid w:val="005838BA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2026-05-13T20:27:00Z</dcterms:modified>
</cp:coreProperties>
</file>