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1186</w:t>
      </w:r>
    </w:p>
    <w:tbl>
      <w:tblPr>
        <w:tblStyle w:val="Grigliatabella"/>
        <w:tblW w:w="5000" w:type="pct"/>
        <w:jc w:val="center"/>
        <w:tblLook w:val="04A0" w:firstRow="1" w:lastRow="0" w:firstColumn="1" w:lastColumn="0" w:noHBand="0" w:noVBand="1"/>
      </w:tblPr>
      <w:tblGrid>
        <w:gridCol w:w="2990"/>
        <w:gridCol w:w="6070"/>
      </w:tblGrid>
      <w:tr w:rsidR="0086297F" w:rsidRPr="00D15B0C" w14:paraId="69604347" w14:textId="77777777" w:rsidTr="002665C6">
        <w:trPr>
          <w:jc w:val="center"/>
        </w:trPr>
        <w:tc>
          <w:tcPr>
            <w:tcW w:w="1650" w:type="pct"/>
            <w:vAlign w:val="center"/>
          </w:tcPr>
          <w:p w14:paraId="59258D49"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Anno di rinvenimento</w:t>
            </w:r>
          </w:p>
        </w:tc>
        <w:tc>
          <w:tcPr>
            <w:tcW w:w="3350" w:type="pct"/>
            <w:vAlign w:val="center"/>
          </w:tcPr>
          <w:p w14:paraId="10AA1E7C" w14:textId="59BFE2EE" w:rsidR="0086297F" w:rsidRPr="00D15B0C" w:rsidRDefault="0086297F" w:rsidP="002665C6">
            <w:pPr>
              <w:jc w:val="center"/>
              <w:rPr>
                <w:rFonts w:ascii="Titillium Web" w:hAnsi="Titillium Web"/>
                <w:szCs w:val="24"/>
              </w:rPr>
            </w:pPr>
            <w:r w:rsidRPr="00D15B0C">
              <w:rPr>
                <w:rFonts w:ascii="Titillium Web" w:hAnsi="Titillium Web"/>
                <w:szCs w:val="24"/>
              </w:rPr>
              <w:t>1935</w:t>
            </w:r>
          </w:p>
        </w:tc>
      </w:tr>
      <w:tr w:rsidR="0086297F" w:rsidRPr="00D15B0C" w14:paraId="3B6B9C62" w14:textId="77777777" w:rsidTr="002665C6">
        <w:trPr>
          <w:jc w:val="center"/>
        </w:trPr>
        <w:tc>
          <w:tcPr>
            <w:tcW w:w="1650" w:type="pct"/>
            <w:vAlign w:val="center"/>
          </w:tcPr>
          <w:p w14:paraId="2D01D888"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Stato di conservazione della tomba</w:t>
            </w:r>
          </w:p>
        </w:tc>
        <w:tc>
          <w:tcPr>
            <w:tcW w:w="3350" w:type="pct"/>
            <w:vAlign w:val="center"/>
          </w:tcPr>
          <w:p w14:paraId="3ADC95CD" w14:textId="31719CCD" w:rsidR="0086297F" w:rsidRPr="00D15B0C" w:rsidRDefault="0086297F" w:rsidP="002665C6">
            <w:pPr>
              <w:jc w:val="center"/>
              <w:rPr>
                <w:rFonts w:ascii="Titillium Web" w:hAnsi="Titillium Web"/>
                <w:szCs w:val="24"/>
              </w:rPr>
            </w:pPr>
            <w:r w:rsidRPr="00D15B0C">
              <w:rPr>
                <w:rFonts w:ascii="Titillium Web" w:hAnsi="Titillium Web"/>
                <w:szCs w:val="24"/>
              </w:rPr>
              <w:t>Intatta</w:t>
            </w:r>
          </w:p>
        </w:tc>
      </w:tr>
      <w:tr w:rsidR="0086297F" w:rsidRPr="00D15B0C" w14:paraId="3D165E1E" w14:textId="77777777" w:rsidTr="002665C6">
        <w:trPr>
          <w:jc w:val="center"/>
        </w:trPr>
        <w:tc>
          <w:tcPr>
            <w:tcW w:w="1650" w:type="pct"/>
            <w:vAlign w:val="center"/>
          </w:tcPr>
          <w:p w14:paraId="2A5B3D4F"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Rito di seppellimento</w:t>
            </w:r>
          </w:p>
        </w:tc>
        <w:tc>
          <w:tcPr>
            <w:tcW w:w="3350" w:type="pct"/>
            <w:vAlign w:val="center"/>
          </w:tcPr>
          <w:p w14:paraId="094BD426" w14:textId="6E99443A" w:rsidR="0086297F" w:rsidRPr="00D15B0C" w:rsidRDefault="0086297F" w:rsidP="002665C6">
            <w:pPr>
              <w:jc w:val="center"/>
              <w:rPr>
                <w:rFonts w:ascii="Titillium Web" w:hAnsi="Titillium Web"/>
                <w:szCs w:val="24"/>
              </w:rPr>
            </w:pPr>
            <w:r w:rsidRPr="00D15B0C">
              <w:rPr>
                <w:rFonts w:ascii="Titillium Web" w:hAnsi="Titillium Web"/>
                <w:szCs w:val="24"/>
              </w:rPr>
              <w:t>Cremazione</w:t>
            </w:r>
          </w:p>
        </w:tc>
      </w:tr>
      <w:tr w:rsidR="0086297F" w:rsidRPr="00D15B0C" w14:paraId="44CADBCB" w14:textId="77777777" w:rsidTr="002665C6">
        <w:trPr>
          <w:jc w:val="center"/>
        </w:trPr>
        <w:tc>
          <w:tcPr>
            <w:tcW w:w="1650" w:type="pct"/>
            <w:vAlign w:val="center"/>
          </w:tcPr>
          <w:p w14:paraId="1E25741A"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Struttura tomba</w:t>
            </w:r>
          </w:p>
        </w:tc>
        <w:tc>
          <w:tcPr>
            <w:tcW w:w="3350" w:type="pct"/>
            <w:vAlign w:val="center"/>
          </w:tcPr>
          <w:p w14:paraId="1DE3BCB3" w14:textId="08DB6A85" w:rsidR="0086297F" w:rsidRPr="00D15B0C" w:rsidRDefault="0086297F" w:rsidP="002665C6">
            <w:pPr>
              <w:jc w:val="center"/>
              <w:rPr>
                <w:rFonts w:ascii="Titillium Web" w:hAnsi="Titillium Web"/>
                <w:szCs w:val="24"/>
              </w:rPr>
            </w:pPr>
            <w:r w:rsidRPr="00D15B0C">
              <w:rPr>
                <w:rFonts w:ascii="Titillium Web" w:hAnsi="Titillium Web"/>
                <w:szCs w:val="24"/>
              </w:rPr>
              <w:t>pozzetto semplice</w:t>
            </w:r>
          </w:p>
        </w:tc>
      </w:tr>
      <w:tr w:rsidR="0086297F" w:rsidRPr="00D15B0C" w14:paraId="47E1F943" w14:textId="77777777" w:rsidTr="002665C6">
        <w:trPr>
          <w:jc w:val="center"/>
        </w:trPr>
        <w:tc>
          <w:tcPr>
            <w:tcW w:w="1650" w:type="pct"/>
            <w:vAlign w:val="center"/>
          </w:tcPr>
          <w:p w14:paraId="355EE080"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 xml:space="preserve">Profondità dal piano di campagna </w:t>
            </w:r>
          </w:p>
        </w:tc>
        <w:tc>
          <w:tcPr>
            <w:tcW w:w="3350" w:type="pct"/>
            <w:vAlign w:val="center"/>
          </w:tcPr>
          <w:p w14:paraId="13D75B9B" w14:textId="6492371F" w:rsidR="0086297F" w:rsidRPr="00D15B0C" w:rsidRDefault="0086297F" w:rsidP="002665C6">
            <w:pPr>
              <w:jc w:val="center"/>
              <w:rPr>
                <w:rFonts w:ascii="Titillium Web" w:hAnsi="Titillium Web"/>
                <w:szCs w:val="24"/>
              </w:rPr>
            </w:pPr>
            <w:r w:rsidRPr="00D15B0C">
              <w:rPr>
                <w:rFonts w:ascii="Titillium Web" w:hAnsi="Titillium Web"/>
                <w:szCs w:val="24"/>
              </w:rPr>
              <w:t>0,75 m</w:t>
            </w:r>
          </w:p>
        </w:tc>
      </w:tr>
      <w:tr w:rsidR="0086297F" w:rsidRPr="00D15B0C" w14:paraId="75BC79FE" w14:textId="77777777" w:rsidTr="002665C6">
        <w:trPr>
          <w:jc w:val="center"/>
        </w:trPr>
        <w:tc>
          <w:tcPr>
            <w:tcW w:w="1650" w:type="pct"/>
            <w:vAlign w:val="center"/>
          </w:tcPr>
          <w:p w14:paraId="432462C5"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Dimensioni della sepoltura</w:t>
            </w:r>
          </w:p>
        </w:tc>
        <w:tc>
          <w:tcPr>
            <w:tcW w:w="3350" w:type="pct"/>
            <w:vAlign w:val="center"/>
          </w:tcPr>
          <w:p w14:paraId="65EDFAD4" w14:textId="5859930D" w:rsidR="0086297F" w:rsidRPr="00D15B0C" w:rsidRDefault="0086297F" w:rsidP="002665C6">
            <w:pPr>
              <w:jc w:val="center"/>
              <w:rPr>
                <w:rFonts w:ascii="Titillium Web" w:hAnsi="Titillium Web"/>
                <w:szCs w:val="24"/>
              </w:rPr>
            </w:pPr>
            <w:r w:rsidRPr="00D15B0C">
              <w:rPr>
                <w:rFonts w:ascii="Titillium Web" w:hAnsi="Titillium Web"/>
                <w:szCs w:val="24"/>
              </w:rPr>
              <w:t>Dimensioni non registrate</w:t>
            </w:r>
          </w:p>
        </w:tc>
      </w:tr>
      <w:tr w:rsidR="0086297F" w:rsidRPr="00D15B0C" w14:paraId="35E5C09E" w14:textId="77777777" w:rsidTr="002665C6">
        <w:trPr>
          <w:jc w:val="center"/>
        </w:trPr>
        <w:tc>
          <w:tcPr>
            <w:tcW w:w="1650" w:type="pct"/>
            <w:vAlign w:val="center"/>
          </w:tcPr>
          <w:p w14:paraId="5AA10374"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Orientamento dello scheletro</w:t>
            </w:r>
          </w:p>
        </w:tc>
        <w:tc>
          <w:tcPr>
            <w:tcW w:w="3350" w:type="pct"/>
            <w:vAlign w:val="center"/>
          </w:tcPr>
          <w:p w14:paraId="6E0E4E7B" w14:textId="7F6B3E0C" w:rsidR="0086297F" w:rsidRPr="00D15B0C" w:rsidRDefault="0086297F" w:rsidP="002665C6">
            <w:pPr>
              <w:jc w:val="center"/>
              <w:rPr>
                <w:rFonts w:ascii="Titillium Web" w:hAnsi="Titillium Web"/>
                <w:szCs w:val="24"/>
              </w:rPr>
            </w:pPr>
            <w:r w:rsidRPr="00D15B0C">
              <w:rPr>
                <w:rFonts w:ascii="Titillium Web" w:hAnsi="Titillium Web"/>
                <w:szCs w:val="24"/>
              </w:rPr>
              <w:t>/</w:t>
            </w:r>
          </w:p>
        </w:tc>
      </w:tr>
      <w:tr w:rsidR="0086297F" w:rsidRPr="00D15B0C" w14:paraId="71236441" w14:textId="77777777" w:rsidTr="002665C6">
        <w:trPr>
          <w:jc w:val="center"/>
        </w:trPr>
        <w:tc>
          <w:tcPr>
            <w:tcW w:w="1650" w:type="pct"/>
            <w:vAlign w:val="center"/>
          </w:tcPr>
          <w:p w14:paraId="4A1B31A8"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Segnacolo</w:t>
            </w:r>
          </w:p>
        </w:tc>
        <w:tc>
          <w:tcPr>
            <w:tcW w:w="3350" w:type="pct"/>
            <w:vAlign w:val="center"/>
          </w:tcPr>
          <w:p w14:paraId="104CE615" w14:textId="50385AE1" w:rsidR="0086297F" w:rsidRPr="00D15B0C" w:rsidRDefault="0086297F" w:rsidP="002665C6">
            <w:pPr>
              <w:jc w:val="center"/>
              <w:rPr>
                <w:rFonts w:ascii="Titillium Web" w:hAnsi="Titillium Web"/>
                <w:szCs w:val="24"/>
              </w:rPr>
            </w:pPr>
            <w:r w:rsidRPr="00D15B0C">
              <w:rPr>
                <w:rFonts w:ascii="Titillium Web" w:hAnsi="Titillium Web"/>
                <w:szCs w:val="24"/>
              </w:rPr>
              <w:t>/</w:t>
            </w:r>
          </w:p>
        </w:tc>
      </w:tr>
      <w:tr w:rsidR="0086297F" w:rsidRPr="00D15B0C" w14:paraId="6D6CBA71" w14:textId="77777777" w:rsidTr="002665C6">
        <w:trPr>
          <w:jc w:val="center"/>
        </w:trPr>
        <w:tc>
          <w:tcPr>
            <w:tcW w:w="1650" w:type="pct"/>
            <w:vAlign w:val="center"/>
          </w:tcPr>
          <w:p w14:paraId="75CA0D64"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Giornale di scavo</w:t>
            </w:r>
          </w:p>
        </w:tc>
        <w:tc>
          <w:tcPr>
            <w:tcW w:w="3350" w:type="pct"/>
            <w:vAlign w:val="center"/>
          </w:tcPr>
          <w:p w14:paraId="716E541C" w14:textId="77777777" w:rsidR="001A0521" w:rsidRPr="00D15B0C" w:rsidRDefault="00BE400D">
            <w:pPr>
              <w:rPr>
                <w:rFonts w:ascii="Titillium Web" w:hAnsi="Titillium Web"/>
                <w:i/>
                <w:iCs/>
                <w:szCs w:val="24"/>
              </w:rPr>
            </w:pPr>
            <w:r w:rsidRPr="00D15B0C">
              <w:rPr>
                <w:rFonts w:ascii="Titillium Web" w:hAnsi="Titillium Web"/>
                <w:i/>
                <w:iCs/>
                <w:szCs w:val="24"/>
              </w:rPr>
              <w:t>Tomba 1186 a cremazione</w:t>
            </w:r>
          </w:p>
          <w:p w14:paraId="309DB481" w14:textId="77777777" w:rsidR="001A0521" w:rsidRPr="00D15B0C" w:rsidRDefault="00BE400D">
            <w:pPr>
              <w:rPr>
                <w:rFonts w:ascii="Titillium Web" w:hAnsi="Titillium Web"/>
                <w:i/>
                <w:iCs/>
                <w:szCs w:val="24"/>
              </w:rPr>
            </w:pPr>
            <w:r w:rsidRPr="00D15B0C">
              <w:rPr>
                <w:rFonts w:ascii="Titillium Web" w:hAnsi="Titillium Web"/>
                <w:i/>
                <w:iCs/>
                <w:szCs w:val="24"/>
              </w:rPr>
              <w:t>A m 69 dal Donna Bianca, a m 47 dalla poderale a m 0,75 di profondità poggiava:</w:t>
            </w:r>
          </w:p>
          <w:p w14:paraId="2D2275EE" w14:textId="77777777" w:rsidR="001A0521" w:rsidRPr="00D15B0C" w:rsidRDefault="00BE400D">
            <w:pPr>
              <w:rPr>
                <w:rFonts w:ascii="Titillium Web" w:hAnsi="Titillium Web"/>
                <w:i/>
                <w:iCs/>
                <w:szCs w:val="24"/>
              </w:rPr>
            </w:pPr>
            <w:r w:rsidRPr="00D15B0C">
              <w:rPr>
                <w:rFonts w:ascii="Titillium Web" w:hAnsi="Titillium Web"/>
                <w:i/>
                <w:iCs/>
                <w:szCs w:val="24"/>
              </w:rPr>
              <w:t>1 oinochoe a forma di fiasca, con bocca trilobata e ansa verticale, di argilla giallo chiara e con disegno strapazzato, di testone e spirali.</w:t>
            </w:r>
          </w:p>
          <w:p w14:paraId="1E1306BA" w14:textId="77777777" w:rsidR="001A0521" w:rsidRPr="00D15B0C" w:rsidRDefault="00BE400D">
            <w:pPr>
              <w:rPr>
                <w:rFonts w:ascii="Titillium Web" w:hAnsi="Titillium Web"/>
                <w:i/>
                <w:iCs/>
                <w:szCs w:val="24"/>
              </w:rPr>
            </w:pPr>
            <w:r w:rsidRPr="00D15B0C">
              <w:rPr>
                <w:rFonts w:ascii="Titillium Web" w:hAnsi="Titillium Web"/>
                <w:i/>
                <w:iCs/>
                <w:szCs w:val="24"/>
              </w:rPr>
              <w:t>Il vaso è frammentario nella bocca e nell’ansa.</w:t>
            </w:r>
          </w:p>
          <w:p w14:paraId="5AF5CA30" w14:textId="77777777" w:rsidR="001A0521" w:rsidRPr="00D15B0C" w:rsidRDefault="00BE400D">
            <w:pPr>
              <w:rPr>
                <w:rFonts w:ascii="Titillium Web" w:hAnsi="Titillium Web"/>
                <w:i/>
                <w:iCs/>
                <w:szCs w:val="24"/>
              </w:rPr>
            </w:pPr>
            <w:r w:rsidRPr="00D15B0C">
              <w:rPr>
                <w:rFonts w:ascii="Titillium Web" w:hAnsi="Titillium Web"/>
                <w:i/>
                <w:iCs/>
                <w:szCs w:val="24"/>
              </w:rPr>
              <w:t>A sud del vaso si rinvenne un frammento di parete di doliaccio marcito presso il quale era un mucchietto di ossa bruciate. Le ossa erano piccolissime, il che fa supporre si tratti di una tomba di fanciullo.</w:t>
            </w:r>
          </w:p>
        </w:tc>
      </w:tr>
      <w:tr w:rsidR="0086297F" w:rsidRPr="00D15B0C" w14:paraId="1429C2F3" w14:textId="77777777" w:rsidTr="002665C6">
        <w:trPr>
          <w:jc w:val="center"/>
        </w:trPr>
        <w:tc>
          <w:tcPr>
            <w:tcW w:w="1650" w:type="pct"/>
            <w:vAlign w:val="center"/>
          </w:tcPr>
          <w:p w14:paraId="7F398080"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Posizione del corredo</w:t>
            </w:r>
          </w:p>
        </w:tc>
        <w:tc>
          <w:tcPr>
            <w:tcW w:w="3350" w:type="pct"/>
            <w:vAlign w:val="center"/>
          </w:tcPr>
          <w:p w14:paraId="5C03ADA7" w14:textId="7BF3AD8D" w:rsidR="0086297F" w:rsidRPr="00D15B0C" w:rsidRDefault="0086297F" w:rsidP="002665C6">
            <w:pPr>
              <w:jc w:val="center"/>
              <w:rPr>
                <w:rFonts w:ascii="Titillium Web" w:hAnsi="Titillium Web"/>
                <w:szCs w:val="24"/>
              </w:rPr>
            </w:pPr>
            <w:r w:rsidRPr="00D15B0C">
              <w:rPr>
                <w:rFonts w:ascii="Titillium Web" w:hAnsi="Titillium Web"/>
                <w:szCs w:val="24"/>
              </w:rPr>
              <w:t>Fuori il cinerario</w:t>
            </w:r>
          </w:p>
        </w:tc>
      </w:tr>
      <w:tr w:rsidR="0086297F" w:rsidRPr="00D15B0C" w14:paraId="71A0E4AF" w14:textId="77777777" w:rsidTr="002665C6">
        <w:trPr>
          <w:jc w:val="center"/>
        </w:trPr>
        <w:tc>
          <w:tcPr>
            <w:tcW w:w="1650" w:type="pct"/>
            <w:vAlign w:val="center"/>
          </w:tcPr>
          <w:p w14:paraId="2128B19B"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Genere (legato all’analisi del corredo)</w:t>
            </w:r>
          </w:p>
        </w:tc>
        <w:tc>
          <w:tcPr>
            <w:tcW w:w="3350" w:type="pct"/>
            <w:vAlign w:val="center"/>
          </w:tcPr>
          <w:p w14:paraId="31324C2B" w14:textId="4E55E405" w:rsidR="0086297F" w:rsidRPr="00D15B0C" w:rsidRDefault="0086297F" w:rsidP="002665C6">
            <w:pPr>
              <w:jc w:val="center"/>
              <w:rPr>
                <w:rFonts w:ascii="Titillium Web" w:hAnsi="Titillium Web"/>
                <w:szCs w:val="24"/>
              </w:rPr>
            </w:pPr>
            <w:r w:rsidRPr="00D15B0C">
              <w:rPr>
                <w:rFonts w:ascii="Titillium Web" w:hAnsi="Titillium Web"/>
                <w:szCs w:val="24"/>
              </w:rPr>
              <w:t>Non determinabile</w:t>
            </w:r>
          </w:p>
        </w:tc>
      </w:tr>
      <w:tr w:rsidR="0086297F" w:rsidRPr="00D15B0C" w14:paraId="17633947" w14:textId="77777777" w:rsidTr="002665C6">
        <w:trPr>
          <w:jc w:val="center"/>
        </w:trPr>
        <w:tc>
          <w:tcPr>
            <w:tcW w:w="1650" w:type="pct"/>
            <w:vAlign w:val="center"/>
          </w:tcPr>
          <w:p w14:paraId="44721053"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Sesso (legato alle analisi antropologiche)</w:t>
            </w:r>
          </w:p>
        </w:tc>
        <w:tc>
          <w:tcPr>
            <w:tcW w:w="3350" w:type="pct"/>
            <w:vAlign w:val="center"/>
          </w:tcPr>
          <w:p w14:paraId="66E918A4" w14:textId="50197FF0" w:rsidR="0086297F" w:rsidRPr="00D15B0C" w:rsidRDefault="0086297F" w:rsidP="002665C6">
            <w:pPr>
              <w:jc w:val="center"/>
              <w:rPr>
                <w:rFonts w:ascii="Titillium Web" w:hAnsi="Titillium Web"/>
                <w:szCs w:val="24"/>
              </w:rPr>
            </w:pPr>
            <w:r w:rsidRPr="00D15B0C">
              <w:rPr>
                <w:rFonts w:ascii="Titillium Web" w:hAnsi="Titillium Web"/>
                <w:szCs w:val="24"/>
              </w:rPr>
              <w:t>Non determinabile</w:t>
            </w:r>
          </w:p>
        </w:tc>
      </w:tr>
      <w:tr w:rsidR="0086297F" w:rsidRPr="00D15B0C" w14:paraId="0588946D" w14:textId="77777777" w:rsidTr="002665C6">
        <w:trPr>
          <w:jc w:val="center"/>
        </w:trPr>
        <w:tc>
          <w:tcPr>
            <w:tcW w:w="1650" w:type="pct"/>
            <w:vAlign w:val="center"/>
          </w:tcPr>
          <w:p w14:paraId="54990945"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Classi di età</w:t>
            </w:r>
          </w:p>
        </w:tc>
        <w:tc>
          <w:tcPr>
            <w:tcW w:w="3350" w:type="pct"/>
            <w:vAlign w:val="center"/>
          </w:tcPr>
          <w:p w14:paraId="0E0589EA" w14:textId="7D4DF825" w:rsidR="0086297F" w:rsidRPr="00D15B0C" w:rsidRDefault="0086297F" w:rsidP="002665C6">
            <w:pPr>
              <w:jc w:val="center"/>
              <w:rPr>
                <w:rFonts w:ascii="Titillium Web" w:hAnsi="Titillium Web"/>
                <w:szCs w:val="24"/>
              </w:rPr>
            </w:pPr>
            <w:r w:rsidRPr="00D15B0C">
              <w:rPr>
                <w:rFonts w:ascii="Titillium Web" w:hAnsi="Titillium Web"/>
                <w:szCs w:val="24"/>
              </w:rPr>
              <w:t>Subadulto</w:t>
            </w:r>
          </w:p>
        </w:tc>
      </w:tr>
      <w:tr w:rsidR="0086297F" w:rsidRPr="00D15B0C" w14:paraId="1FFA88A1" w14:textId="77777777" w:rsidTr="002665C6">
        <w:trPr>
          <w:jc w:val="center"/>
        </w:trPr>
        <w:tc>
          <w:tcPr>
            <w:tcW w:w="1650" w:type="pct"/>
            <w:vAlign w:val="center"/>
          </w:tcPr>
          <w:p w14:paraId="63B2D8D6" w14:textId="77777777" w:rsidR="0086297F" w:rsidRPr="00D15B0C" w:rsidRDefault="0086297F" w:rsidP="002665C6">
            <w:pPr>
              <w:jc w:val="center"/>
              <w:rPr>
                <w:rFonts w:ascii="Titillium Web" w:hAnsi="Titillium Web"/>
                <w:smallCaps/>
                <w:szCs w:val="24"/>
              </w:rPr>
            </w:pPr>
            <w:r w:rsidRPr="00D15B0C">
              <w:rPr>
                <w:rFonts w:ascii="Titillium Web" w:hAnsi="Titillium Web"/>
                <w:smallCaps/>
                <w:szCs w:val="24"/>
              </w:rPr>
              <w:t>Bibliografia essenziale</w:t>
            </w:r>
          </w:p>
        </w:tc>
        <w:tc>
          <w:tcPr>
            <w:tcW w:w="3350" w:type="pct"/>
            <w:vAlign w:val="center"/>
          </w:tcPr>
          <w:p w14:paraId="225A6B41" w14:textId="77777777" w:rsidR="001A0521" w:rsidRPr="00D15B0C" w:rsidRDefault="00BE400D" w:rsidP="00D15B0C">
            <w:pPr>
              <w:jc w:val="center"/>
              <w:rPr>
                <w:rFonts w:ascii="Titillium Web" w:hAnsi="Titillium Web"/>
                <w:szCs w:val="24"/>
              </w:rPr>
            </w:pPr>
            <w:r w:rsidRPr="00D15B0C">
              <w:rPr>
                <w:rFonts w:ascii="Titillium Web" w:eastAsia="Titillium" w:hAnsi="Titillium Web" w:cs="Titillium"/>
                <w:smallCaps/>
                <w:szCs w:val="24"/>
              </w:rPr>
              <w:t>Felletti-Maj</w:t>
            </w:r>
            <w:r w:rsidRPr="00D15B0C">
              <w:rPr>
                <w:rFonts w:ascii="Titillium Web" w:eastAsia="Titillium" w:hAnsi="Titillium Web" w:cs="Titillium"/>
                <w:szCs w:val="24"/>
              </w:rPr>
              <w:t xml:space="preserve"> 1940, p. 338; </w:t>
            </w:r>
            <w:r w:rsidRPr="00D15B0C">
              <w:rPr>
                <w:rFonts w:ascii="Titillium Web" w:eastAsia="Titillium" w:hAnsi="Titillium Web" w:cs="Titillium"/>
                <w:smallCaps/>
                <w:szCs w:val="24"/>
              </w:rPr>
              <w:t>Serra</w:t>
            </w:r>
            <w:r w:rsidRPr="00D15B0C">
              <w:rPr>
                <w:rFonts w:ascii="Titillium Web" w:eastAsia="Titillium" w:hAnsi="Titillium Web" w:cs="Titillium"/>
                <w:szCs w:val="24"/>
              </w:rPr>
              <w:t xml:space="preserve"> 2016-2017; </w:t>
            </w:r>
            <w:r w:rsidRPr="00D15B0C">
              <w:rPr>
                <w:rFonts w:ascii="Titillium Web" w:eastAsia="Titillium" w:hAnsi="Titillium Web" w:cs="Titillium"/>
                <w:smallCaps/>
                <w:szCs w:val="24"/>
              </w:rPr>
              <w:t>Serra</w:t>
            </w:r>
            <w:r w:rsidRPr="00D15B0C">
              <w:rPr>
                <w:rFonts w:ascii="Titillium Web" w:eastAsia="Titillium" w:hAnsi="Titillium Web" w:cs="Titillium"/>
                <w:szCs w:val="24"/>
              </w:rPr>
              <w:t xml:space="preserve"> 2025, p. 233</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A0521"/>
    <w:rsid w:val="001C17CC"/>
    <w:rsid w:val="002977D7"/>
    <w:rsid w:val="00472AF4"/>
    <w:rsid w:val="00551AF8"/>
    <w:rsid w:val="005B5AFF"/>
    <w:rsid w:val="006162A4"/>
    <w:rsid w:val="006346F7"/>
    <w:rsid w:val="006D6EFB"/>
    <w:rsid w:val="007145BC"/>
    <w:rsid w:val="0086297F"/>
    <w:rsid w:val="009E4922"/>
    <w:rsid w:val="00AB321D"/>
    <w:rsid w:val="00B165C4"/>
    <w:rsid w:val="00C21EE0"/>
    <w:rsid w:val="00D15B0C"/>
    <w:rsid w:val="00D900AB"/>
    <w:rsid w:val="00D936E8"/>
    <w:rsid w:val="00D96775"/>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2026-05-13T20:25:00Z</dcterms:modified>
</cp:coreProperties>
</file>