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1189</w:t>
      </w:r>
    </w:p>
    <w:tbl>
      <w:tblPr>
        <w:tblStyle w:val="Grigliatabella"/>
        <w:tblW w:w="5000" w:type="pct"/>
        <w:jc w:val="center"/>
        <w:tblLook w:val="04A0" w:firstRow="1" w:lastRow="0" w:firstColumn="1" w:lastColumn="0" w:noHBand="0" w:noVBand="1"/>
      </w:tblPr>
      <w:tblGrid>
        <w:gridCol w:w="2990"/>
        <w:gridCol w:w="6070"/>
      </w:tblGrid>
      <w:tr w:rsidR="0086297F" w:rsidRPr="00AB445E" w14:paraId="69604347" w14:textId="77777777" w:rsidTr="002665C6">
        <w:trPr>
          <w:jc w:val="center"/>
        </w:trPr>
        <w:tc>
          <w:tcPr>
            <w:tcW w:w="1650" w:type="pct"/>
            <w:vAlign w:val="center"/>
          </w:tcPr>
          <w:p w14:paraId="59258D49"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Anno di rinvenimento</w:t>
            </w:r>
          </w:p>
        </w:tc>
        <w:tc>
          <w:tcPr>
            <w:tcW w:w="3350" w:type="pct"/>
            <w:vAlign w:val="center"/>
          </w:tcPr>
          <w:p w14:paraId="10AA1E7C" w14:textId="59BFE2EE" w:rsidR="0086297F" w:rsidRPr="00AB445E" w:rsidRDefault="0086297F" w:rsidP="002665C6">
            <w:pPr>
              <w:jc w:val="center"/>
              <w:rPr>
                <w:rFonts w:ascii="Titillium Web" w:hAnsi="Titillium Web"/>
                <w:szCs w:val="24"/>
              </w:rPr>
            </w:pPr>
            <w:r w:rsidRPr="00AB445E">
              <w:rPr>
                <w:rFonts w:ascii="Titillium Web" w:hAnsi="Titillium Web"/>
                <w:szCs w:val="24"/>
              </w:rPr>
              <w:t>1935</w:t>
            </w:r>
          </w:p>
        </w:tc>
      </w:tr>
      <w:tr w:rsidR="0086297F" w:rsidRPr="00AB445E" w14:paraId="3B6B9C62" w14:textId="77777777" w:rsidTr="002665C6">
        <w:trPr>
          <w:jc w:val="center"/>
        </w:trPr>
        <w:tc>
          <w:tcPr>
            <w:tcW w:w="1650" w:type="pct"/>
            <w:vAlign w:val="center"/>
          </w:tcPr>
          <w:p w14:paraId="2D01D888"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Stato di conservazione della tomba</w:t>
            </w:r>
          </w:p>
        </w:tc>
        <w:tc>
          <w:tcPr>
            <w:tcW w:w="3350" w:type="pct"/>
            <w:vAlign w:val="center"/>
          </w:tcPr>
          <w:p w14:paraId="3ADC95CD" w14:textId="31719CCD" w:rsidR="0086297F" w:rsidRPr="00AB445E" w:rsidRDefault="0086297F" w:rsidP="002665C6">
            <w:pPr>
              <w:jc w:val="center"/>
              <w:rPr>
                <w:rFonts w:ascii="Titillium Web" w:hAnsi="Titillium Web"/>
                <w:szCs w:val="24"/>
              </w:rPr>
            </w:pPr>
            <w:r w:rsidRPr="00AB445E">
              <w:rPr>
                <w:rFonts w:ascii="Titillium Web" w:hAnsi="Titillium Web"/>
                <w:szCs w:val="24"/>
              </w:rPr>
              <w:t>Intatta</w:t>
            </w:r>
          </w:p>
        </w:tc>
      </w:tr>
      <w:tr w:rsidR="0086297F" w:rsidRPr="00AB445E" w14:paraId="3D165E1E" w14:textId="77777777" w:rsidTr="002665C6">
        <w:trPr>
          <w:jc w:val="center"/>
        </w:trPr>
        <w:tc>
          <w:tcPr>
            <w:tcW w:w="1650" w:type="pct"/>
            <w:vAlign w:val="center"/>
          </w:tcPr>
          <w:p w14:paraId="2A5B3D4F"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Rito di seppellimento</w:t>
            </w:r>
          </w:p>
        </w:tc>
        <w:tc>
          <w:tcPr>
            <w:tcW w:w="3350" w:type="pct"/>
            <w:vAlign w:val="center"/>
          </w:tcPr>
          <w:p w14:paraId="094BD426" w14:textId="6E99443A" w:rsidR="0086297F" w:rsidRPr="00AB445E" w:rsidRDefault="0086297F" w:rsidP="002665C6">
            <w:pPr>
              <w:jc w:val="center"/>
              <w:rPr>
                <w:rFonts w:ascii="Titillium Web" w:hAnsi="Titillium Web"/>
                <w:szCs w:val="24"/>
              </w:rPr>
            </w:pPr>
            <w:r w:rsidRPr="00AB445E">
              <w:rPr>
                <w:rFonts w:ascii="Titillium Web" w:hAnsi="Titillium Web"/>
                <w:szCs w:val="24"/>
              </w:rPr>
              <w:t>Inumazione</w:t>
            </w:r>
          </w:p>
        </w:tc>
      </w:tr>
      <w:tr w:rsidR="0086297F" w:rsidRPr="00AB445E" w14:paraId="44CADBCB" w14:textId="77777777" w:rsidTr="002665C6">
        <w:trPr>
          <w:jc w:val="center"/>
        </w:trPr>
        <w:tc>
          <w:tcPr>
            <w:tcW w:w="1650" w:type="pct"/>
            <w:vAlign w:val="center"/>
          </w:tcPr>
          <w:p w14:paraId="1E25741A"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Struttura tomba</w:t>
            </w:r>
          </w:p>
        </w:tc>
        <w:tc>
          <w:tcPr>
            <w:tcW w:w="3350" w:type="pct"/>
            <w:vAlign w:val="center"/>
          </w:tcPr>
          <w:p w14:paraId="1DE3BCB3" w14:textId="08DB6A85" w:rsidR="0086297F" w:rsidRPr="00AB445E" w:rsidRDefault="0086297F" w:rsidP="002665C6">
            <w:pPr>
              <w:jc w:val="center"/>
              <w:rPr>
                <w:rFonts w:ascii="Titillium Web" w:hAnsi="Titillium Web"/>
                <w:szCs w:val="24"/>
              </w:rPr>
            </w:pPr>
            <w:r w:rsidRPr="00AB445E">
              <w:rPr>
                <w:rFonts w:ascii="Titillium Web" w:hAnsi="Titillium Web"/>
                <w:szCs w:val="24"/>
              </w:rPr>
              <w:t>fossa con cassone ligneo</w:t>
            </w:r>
          </w:p>
        </w:tc>
      </w:tr>
      <w:tr w:rsidR="0086297F" w:rsidRPr="00AB445E" w14:paraId="47E1F943" w14:textId="77777777" w:rsidTr="002665C6">
        <w:trPr>
          <w:jc w:val="center"/>
        </w:trPr>
        <w:tc>
          <w:tcPr>
            <w:tcW w:w="1650" w:type="pct"/>
            <w:vAlign w:val="center"/>
          </w:tcPr>
          <w:p w14:paraId="355EE080"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 xml:space="preserve">Profondità dal piano di campagna </w:t>
            </w:r>
          </w:p>
        </w:tc>
        <w:tc>
          <w:tcPr>
            <w:tcW w:w="3350" w:type="pct"/>
            <w:vAlign w:val="center"/>
          </w:tcPr>
          <w:p w14:paraId="13D75B9B" w14:textId="189D4120" w:rsidR="0086297F" w:rsidRPr="00AB445E" w:rsidRDefault="00DC7245" w:rsidP="002665C6">
            <w:pPr>
              <w:jc w:val="center"/>
              <w:rPr>
                <w:rFonts w:ascii="Titillium Web" w:hAnsi="Titillium Web"/>
                <w:szCs w:val="24"/>
              </w:rPr>
            </w:pPr>
            <w:r>
              <w:rPr>
                <w:rFonts w:ascii="Titillium Web" w:hAnsi="Titillium Web"/>
                <w:szCs w:val="24"/>
              </w:rPr>
              <w:t>/</w:t>
            </w:r>
          </w:p>
        </w:tc>
      </w:tr>
      <w:tr w:rsidR="0086297F" w:rsidRPr="00AB445E" w14:paraId="75BC79FE" w14:textId="77777777" w:rsidTr="002665C6">
        <w:trPr>
          <w:jc w:val="center"/>
        </w:trPr>
        <w:tc>
          <w:tcPr>
            <w:tcW w:w="1650" w:type="pct"/>
            <w:vAlign w:val="center"/>
          </w:tcPr>
          <w:p w14:paraId="432462C5"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Dimensioni della sepoltura</w:t>
            </w:r>
          </w:p>
        </w:tc>
        <w:tc>
          <w:tcPr>
            <w:tcW w:w="3350" w:type="pct"/>
            <w:vAlign w:val="center"/>
          </w:tcPr>
          <w:p w14:paraId="65EDFAD4" w14:textId="5859930D" w:rsidR="0086297F" w:rsidRPr="00AB445E" w:rsidRDefault="0086297F" w:rsidP="002665C6">
            <w:pPr>
              <w:jc w:val="center"/>
              <w:rPr>
                <w:rFonts w:ascii="Titillium Web" w:hAnsi="Titillium Web"/>
                <w:szCs w:val="24"/>
              </w:rPr>
            </w:pPr>
            <w:r w:rsidRPr="00AB445E">
              <w:rPr>
                <w:rFonts w:ascii="Titillium Web" w:hAnsi="Titillium Web"/>
                <w:szCs w:val="24"/>
              </w:rPr>
              <w:t>1.55</w:t>
            </w:r>
          </w:p>
        </w:tc>
      </w:tr>
      <w:tr w:rsidR="0086297F" w:rsidRPr="00AB445E" w14:paraId="35E5C09E" w14:textId="77777777" w:rsidTr="002665C6">
        <w:trPr>
          <w:jc w:val="center"/>
        </w:trPr>
        <w:tc>
          <w:tcPr>
            <w:tcW w:w="1650" w:type="pct"/>
            <w:vAlign w:val="center"/>
          </w:tcPr>
          <w:p w14:paraId="5AA10374"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Orientamento dello scheletro</w:t>
            </w:r>
          </w:p>
        </w:tc>
        <w:tc>
          <w:tcPr>
            <w:tcW w:w="3350" w:type="pct"/>
            <w:vAlign w:val="center"/>
          </w:tcPr>
          <w:p w14:paraId="6E0E4E7B" w14:textId="7F6B3E0C" w:rsidR="0086297F" w:rsidRPr="00AB445E" w:rsidRDefault="0086297F" w:rsidP="002665C6">
            <w:pPr>
              <w:jc w:val="center"/>
              <w:rPr>
                <w:rFonts w:ascii="Titillium Web" w:hAnsi="Titillium Web"/>
                <w:szCs w:val="24"/>
              </w:rPr>
            </w:pPr>
            <w:r w:rsidRPr="00AB445E">
              <w:rPr>
                <w:rFonts w:ascii="Titillium Web" w:hAnsi="Titillium Web"/>
                <w:szCs w:val="24"/>
              </w:rPr>
              <w:t>NW-SE</w:t>
            </w:r>
          </w:p>
        </w:tc>
      </w:tr>
      <w:tr w:rsidR="0086297F" w:rsidRPr="00AB445E" w14:paraId="71236441" w14:textId="77777777" w:rsidTr="002665C6">
        <w:trPr>
          <w:jc w:val="center"/>
        </w:trPr>
        <w:tc>
          <w:tcPr>
            <w:tcW w:w="1650" w:type="pct"/>
            <w:vAlign w:val="center"/>
          </w:tcPr>
          <w:p w14:paraId="4A1B31A8"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Segnacolo</w:t>
            </w:r>
          </w:p>
        </w:tc>
        <w:tc>
          <w:tcPr>
            <w:tcW w:w="3350" w:type="pct"/>
            <w:vAlign w:val="center"/>
          </w:tcPr>
          <w:p w14:paraId="104CE615" w14:textId="50385AE1" w:rsidR="0086297F" w:rsidRPr="00AB445E" w:rsidRDefault="0086297F" w:rsidP="002665C6">
            <w:pPr>
              <w:jc w:val="center"/>
              <w:rPr>
                <w:rFonts w:ascii="Titillium Web" w:hAnsi="Titillium Web"/>
                <w:szCs w:val="24"/>
              </w:rPr>
            </w:pPr>
            <w:r w:rsidRPr="00AB445E">
              <w:rPr>
                <w:rFonts w:ascii="Titillium Web" w:hAnsi="Titillium Web"/>
                <w:szCs w:val="24"/>
              </w:rPr>
              <w:t>/</w:t>
            </w:r>
          </w:p>
        </w:tc>
      </w:tr>
      <w:tr w:rsidR="0086297F" w:rsidRPr="00AB445E" w14:paraId="6D6CBA71" w14:textId="77777777" w:rsidTr="002665C6">
        <w:trPr>
          <w:jc w:val="center"/>
        </w:trPr>
        <w:tc>
          <w:tcPr>
            <w:tcW w:w="1650" w:type="pct"/>
            <w:vAlign w:val="center"/>
          </w:tcPr>
          <w:p w14:paraId="75CA0D64"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Giornale di scavo</w:t>
            </w:r>
          </w:p>
        </w:tc>
        <w:tc>
          <w:tcPr>
            <w:tcW w:w="3350" w:type="pct"/>
            <w:vAlign w:val="center"/>
          </w:tcPr>
          <w:p w14:paraId="035D6873" w14:textId="77777777" w:rsidR="004378E0" w:rsidRPr="00AB445E" w:rsidRDefault="00A07152">
            <w:pPr>
              <w:rPr>
                <w:rFonts w:ascii="Titillium Web" w:hAnsi="Titillium Web"/>
                <w:i/>
                <w:iCs/>
                <w:szCs w:val="24"/>
              </w:rPr>
            </w:pPr>
            <w:r w:rsidRPr="00AB445E">
              <w:rPr>
                <w:rFonts w:ascii="Titillium Web" w:hAnsi="Titillium Web"/>
                <w:i/>
                <w:iCs/>
                <w:szCs w:val="24"/>
              </w:rPr>
              <w:t>Tomba 1189 a umazione</w:t>
            </w:r>
          </w:p>
          <w:p w14:paraId="317CAC2A" w14:textId="77777777" w:rsidR="004378E0" w:rsidRPr="00AB445E" w:rsidRDefault="00A07152">
            <w:pPr>
              <w:rPr>
                <w:rFonts w:ascii="Titillium Web" w:hAnsi="Titillium Web"/>
                <w:i/>
                <w:iCs/>
                <w:szCs w:val="24"/>
              </w:rPr>
            </w:pPr>
            <w:r w:rsidRPr="00AB445E">
              <w:rPr>
                <w:rFonts w:ascii="Titillium Web" w:hAnsi="Titillium Web"/>
                <w:i/>
                <w:iCs/>
                <w:szCs w:val="24"/>
              </w:rPr>
              <w:t>con cassa di legno e strato di calce sugli oggetti.</w:t>
            </w:r>
          </w:p>
          <w:p w14:paraId="16E59D6E" w14:textId="77777777" w:rsidR="004378E0" w:rsidRPr="00AB445E" w:rsidRDefault="00A07152">
            <w:pPr>
              <w:rPr>
                <w:rFonts w:ascii="Titillium Web" w:hAnsi="Titillium Web"/>
                <w:i/>
                <w:iCs/>
                <w:szCs w:val="24"/>
              </w:rPr>
            </w:pPr>
            <w:r w:rsidRPr="00AB445E">
              <w:rPr>
                <w:rFonts w:ascii="Titillium Web" w:hAnsi="Titillium Web"/>
                <w:i/>
                <w:iCs/>
                <w:szCs w:val="24"/>
              </w:rPr>
              <w:t>In questa tomba si ripete lo stesso fenomeno della precedente, in modo anche più evidente. Lo scheletro della 1189 ha la orientazione eguale a quello 1188 e in parte è anch’esso sconvolto.</w:t>
            </w:r>
          </w:p>
          <w:p w14:paraId="01D53418" w14:textId="77777777" w:rsidR="004378E0" w:rsidRPr="00AB445E" w:rsidRDefault="00A07152">
            <w:pPr>
              <w:rPr>
                <w:rFonts w:ascii="Titillium Web" w:hAnsi="Titillium Web"/>
                <w:i/>
                <w:iCs/>
                <w:szCs w:val="24"/>
              </w:rPr>
            </w:pPr>
            <w:r w:rsidRPr="00AB445E">
              <w:rPr>
                <w:rFonts w:ascii="Titillium Web" w:hAnsi="Titillium Web"/>
                <w:i/>
                <w:iCs/>
                <w:szCs w:val="24"/>
              </w:rPr>
              <w:t>La suppellettile funebre è accatastata in parte, (più altra che il piano dello scheletro di m 0,15 circa) e in parte rovesciata e qualche vaso rotto, i di cui pezzi si son sparsi e caduti (cioè dall’alto) parte a destra e parte a sinistra del cumulo degli oggetti.</w:t>
            </w:r>
          </w:p>
          <w:p w14:paraId="6B3C39DC" w14:textId="77777777" w:rsidR="004378E0" w:rsidRPr="00AB445E" w:rsidRDefault="00A07152">
            <w:pPr>
              <w:rPr>
                <w:rFonts w:ascii="Titillium Web" w:hAnsi="Titillium Web"/>
                <w:i/>
                <w:iCs/>
                <w:szCs w:val="24"/>
              </w:rPr>
            </w:pPr>
            <w:r w:rsidRPr="00AB445E">
              <w:rPr>
                <w:rFonts w:ascii="Titillium Web" w:hAnsi="Titillium Web"/>
                <w:i/>
                <w:iCs/>
                <w:szCs w:val="24"/>
              </w:rPr>
              <w:t>Come dimostrazione pratica e assoluta che il detto materiale doveva essere disposto su di un piano più altro di dove posa lo scheletro si noti nella fotografia l’inclinazione, la curvatura e il ribaltamento dello stelo di ferro (forse un candelabro ?) avvenuto dal lato di levante; i fittili crollati anch’essi verso levante, lo schyphos grande a piede stretto che è posto sul cumulo delle suppellettili; spezzatosi nella caduta in 3 frammenti, dei quali il principale è rimasto incastrato superiormente al mucch</w:t>
            </w:r>
            <w:r w:rsidRPr="00AB445E">
              <w:rPr>
                <w:rFonts w:ascii="Titillium Web" w:hAnsi="Titillium Web"/>
                <w:i/>
                <w:iCs/>
                <w:szCs w:val="24"/>
              </w:rPr>
              <w:t>io degli oggetti e gli altri 2 frammentati sono caduti e discesi uno presso il braccio destro dello scheletro e il secondo frammento è anch’esso caduto e disceso a sinistra del cumulo dei fittili.</w:t>
            </w:r>
          </w:p>
          <w:p w14:paraId="00848F29" w14:textId="77777777" w:rsidR="004378E0" w:rsidRPr="00AB445E" w:rsidRDefault="00A07152">
            <w:pPr>
              <w:rPr>
                <w:rFonts w:ascii="Titillium Web" w:hAnsi="Titillium Web"/>
                <w:i/>
                <w:iCs/>
                <w:szCs w:val="24"/>
              </w:rPr>
            </w:pPr>
            <w:r w:rsidRPr="00AB445E">
              <w:rPr>
                <w:rFonts w:ascii="Titillium Web" w:hAnsi="Titillium Web"/>
                <w:i/>
                <w:iCs/>
                <w:szCs w:val="24"/>
              </w:rPr>
              <w:t xml:space="preserve">Non vi è dubbio alcuno che i fittili erano stati posti simmetricamente sopra uno sgabello o panchetto, il quale a </w:t>
            </w:r>
            <w:r w:rsidRPr="00AB445E">
              <w:rPr>
                <w:rFonts w:ascii="Titillium Web" w:hAnsi="Titillium Web"/>
                <w:i/>
                <w:iCs/>
                <w:szCs w:val="24"/>
              </w:rPr>
              <w:lastRenderedPageBreak/>
              <w:t>sua volta marcito, si è inclinato prima, poi è crollato verso sud-est trascinando nella sua caduta e sparpagliando e spezzando il materiale fittile.</w:t>
            </w:r>
          </w:p>
          <w:p w14:paraId="7874C107" w14:textId="77777777" w:rsidR="004378E0" w:rsidRPr="00AB445E" w:rsidRDefault="00A07152">
            <w:pPr>
              <w:rPr>
                <w:rFonts w:ascii="Titillium Web" w:hAnsi="Titillium Web"/>
                <w:i/>
                <w:iCs/>
                <w:szCs w:val="24"/>
              </w:rPr>
            </w:pPr>
            <w:r w:rsidRPr="00AB445E">
              <w:rPr>
                <w:rFonts w:ascii="Titillium Web" w:hAnsi="Titillium Web"/>
                <w:i/>
                <w:iCs/>
                <w:szCs w:val="24"/>
              </w:rPr>
              <w:t>Indubbiamente doveva, questa tomba, avere la cassa di legno, e la prova l’abbiamo nello stelo di ferro che lentamente incurvandosi verso levante, (dalla spinta che veniva dall’alto per causa del coperchio della cassa che marcito lentamente scendeva verso l’interno della cassa) si è inclinato e curvato tanto da arrivare con la parte superiore a toccare e confondersi nel cumulo dei fittili.</w:t>
            </w:r>
          </w:p>
          <w:p w14:paraId="321E1F08" w14:textId="77777777" w:rsidR="004378E0" w:rsidRPr="00AB445E" w:rsidRDefault="00A07152">
            <w:pPr>
              <w:rPr>
                <w:rFonts w:ascii="Titillium Web" w:hAnsi="Titillium Web"/>
                <w:i/>
                <w:iCs/>
                <w:szCs w:val="24"/>
              </w:rPr>
            </w:pPr>
            <w:r w:rsidRPr="00AB445E">
              <w:rPr>
                <w:rFonts w:ascii="Titillium Web" w:hAnsi="Titillium Web"/>
                <w:i/>
                <w:iCs/>
                <w:szCs w:val="24"/>
              </w:rPr>
              <w:t>Se non vi fosse stata la cassa di legno in questa tomba, non si capirebbe come e per quale forza il candelabro si sarebbe gradualmente incurvato, giacché in molte delle tombe con candelabro (scavate a Valle Trebba) noi abbiamo controllato lo stesso fenomeno e cioè il piegamento forzato e in rari casi adirittura lo spezzamento dello stelo del candelabro.</w:t>
            </w:r>
          </w:p>
          <w:p w14:paraId="48995417" w14:textId="77777777" w:rsidR="004378E0" w:rsidRPr="00AB445E" w:rsidRDefault="00A07152">
            <w:pPr>
              <w:rPr>
                <w:rFonts w:ascii="Titillium Web" w:hAnsi="Titillium Web"/>
                <w:i/>
                <w:iCs/>
                <w:szCs w:val="24"/>
              </w:rPr>
            </w:pPr>
            <w:r w:rsidRPr="00AB445E">
              <w:rPr>
                <w:rFonts w:ascii="Titillium Web" w:hAnsi="Titillium Web"/>
                <w:i/>
                <w:iCs/>
                <w:szCs w:val="24"/>
              </w:rPr>
              <w:t>Anche sulla superficie di fittili che furono superiormente nel cumulo e perciò a diretto contatto con il legno del coperchio della cassa, calato e crollato e piaggiatosi sopra i fittili, si riscontrarono, al momento dello scavo, tracce del legno marcito che vi si era appiccicati sopra.</w:t>
            </w:r>
          </w:p>
          <w:p w14:paraId="3D3BDC8F" w14:textId="77777777" w:rsidR="004378E0" w:rsidRPr="00AB445E" w:rsidRDefault="00A07152">
            <w:pPr>
              <w:rPr>
                <w:rFonts w:ascii="Titillium Web" w:hAnsi="Titillium Web"/>
                <w:i/>
                <w:iCs/>
                <w:szCs w:val="24"/>
              </w:rPr>
            </w:pPr>
            <w:r w:rsidRPr="00AB445E">
              <w:rPr>
                <w:rFonts w:ascii="Titillium Web" w:hAnsi="Titillium Web"/>
                <w:i/>
                <w:iCs/>
                <w:szCs w:val="24"/>
              </w:rPr>
              <w:t>Anche sotto il cumulo dei vasi si rinvennero, fra la sabbia, briciole e residui legnosi, certamente della decomposizione del coperchio della cassa.</w:t>
            </w:r>
          </w:p>
          <w:p w14:paraId="3C892A7F" w14:textId="77777777" w:rsidR="004378E0" w:rsidRPr="00AB445E" w:rsidRDefault="00A07152">
            <w:pPr>
              <w:rPr>
                <w:rFonts w:ascii="Titillium Web" w:hAnsi="Titillium Web"/>
                <w:i/>
                <w:iCs/>
                <w:szCs w:val="24"/>
              </w:rPr>
            </w:pPr>
            <w:r w:rsidRPr="00AB445E">
              <w:rPr>
                <w:rFonts w:ascii="Titillium Web" w:hAnsi="Titillium Web"/>
                <w:i/>
                <w:iCs/>
                <w:szCs w:val="24"/>
              </w:rPr>
              <w:t>Nulla però si rinvenne che potesse provare materialmente l’esigenza di un mobiletto o panchetto, come sarebbero stati pieducci di bronzo o altro.</w:t>
            </w:r>
          </w:p>
          <w:p w14:paraId="75302E17" w14:textId="77777777" w:rsidR="004378E0" w:rsidRPr="00AB445E" w:rsidRDefault="00A07152">
            <w:pPr>
              <w:rPr>
                <w:rFonts w:ascii="Titillium Web" w:hAnsi="Titillium Web"/>
                <w:i/>
                <w:iCs/>
                <w:szCs w:val="24"/>
              </w:rPr>
            </w:pPr>
            <w:r w:rsidRPr="00AB445E">
              <w:rPr>
                <w:rFonts w:ascii="Titillium Web" w:hAnsi="Titillium Web"/>
                <w:i/>
                <w:iCs/>
                <w:szCs w:val="24"/>
              </w:rPr>
              <w:t>Ma è indubitato che un piano più alto dello scheletro reggeva il materiale fittile e che questo è caduto verso levante, o perché lo sgabello è marcito e crollato, o perché il coperchio della cassa è caduto entro la tomba, sconvolgendo tutta la suppellettile.</w:t>
            </w:r>
          </w:p>
          <w:p w14:paraId="54650E08" w14:textId="77777777" w:rsidR="004378E0" w:rsidRPr="00AB445E" w:rsidRDefault="00A07152">
            <w:pPr>
              <w:rPr>
                <w:rFonts w:ascii="Titillium Web" w:hAnsi="Titillium Web"/>
                <w:i/>
                <w:iCs/>
                <w:szCs w:val="24"/>
              </w:rPr>
            </w:pPr>
            <w:r w:rsidRPr="00AB445E">
              <w:rPr>
                <w:rFonts w:ascii="Titillium Web" w:hAnsi="Titillium Web"/>
                <w:i/>
                <w:iCs/>
                <w:szCs w:val="24"/>
              </w:rPr>
              <w:t>Come ho già detto lievi tracce di calce si rinvennero sui fittili e sullo scheletro, ma non uno strato denso come a volte si è rinvenuto di calce che formava un vero strato di più centimetri di spessore tanto che si è dovuto in certi casi (T. 127) spezzare tale strato a colpi di piccone.</w:t>
            </w:r>
          </w:p>
          <w:p w14:paraId="43D8357A" w14:textId="77777777" w:rsidR="004378E0" w:rsidRPr="00AB445E" w:rsidRDefault="00A07152">
            <w:pPr>
              <w:rPr>
                <w:rFonts w:ascii="Titillium Web" w:hAnsi="Titillium Web"/>
                <w:i/>
                <w:iCs/>
                <w:szCs w:val="24"/>
              </w:rPr>
            </w:pPr>
            <w:r w:rsidRPr="00AB445E">
              <w:rPr>
                <w:rFonts w:ascii="Titillium Web" w:hAnsi="Titillium Web"/>
                <w:i/>
                <w:iCs/>
                <w:szCs w:val="24"/>
              </w:rPr>
              <w:t>Descrizione degli oggetti:</w:t>
            </w:r>
          </w:p>
          <w:p w14:paraId="58886ABA" w14:textId="77777777" w:rsidR="004378E0" w:rsidRPr="00AB445E" w:rsidRDefault="00A07152">
            <w:pPr>
              <w:rPr>
                <w:rFonts w:ascii="Titillium Web" w:hAnsi="Titillium Web"/>
                <w:i/>
                <w:iCs/>
                <w:szCs w:val="24"/>
              </w:rPr>
            </w:pPr>
            <w:r w:rsidRPr="00AB445E">
              <w:rPr>
                <w:rFonts w:ascii="Titillium Web" w:hAnsi="Titillium Web"/>
                <w:i/>
                <w:iCs/>
                <w:szCs w:val="24"/>
              </w:rPr>
              <w:t>Nel lato più a ponente del cumulo delle suppellettili erano:</w:t>
            </w:r>
          </w:p>
          <w:p w14:paraId="04734082" w14:textId="77777777" w:rsidR="004378E0" w:rsidRPr="00AB445E" w:rsidRDefault="00A07152">
            <w:pPr>
              <w:rPr>
                <w:rFonts w:ascii="Titillium Web" w:hAnsi="Titillium Web"/>
                <w:i/>
                <w:iCs/>
                <w:szCs w:val="24"/>
              </w:rPr>
            </w:pPr>
            <w:r w:rsidRPr="00AB445E">
              <w:rPr>
                <w:rFonts w:ascii="Titillium Web" w:hAnsi="Titillium Web"/>
                <w:i/>
                <w:iCs/>
                <w:szCs w:val="24"/>
              </w:rPr>
              <w:lastRenderedPageBreak/>
              <w:t>1 oinochoe a forma di fiasca, di argilla giallino chiara, con bocca trilobata e ansa verticale: è di dimensioni un po’ più grande delle forme comuni. è intero e reca sul corpo disegni, inabili, di tesone e spirali, a vernice bruno pallido.</w:t>
            </w:r>
          </w:p>
          <w:p w14:paraId="547E7405" w14:textId="77777777" w:rsidR="004378E0" w:rsidRPr="00AB445E" w:rsidRDefault="00A07152">
            <w:pPr>
              <w:rPr>
                <w:rFonts w:ascii="Titillium Web" w:hAnsi="Titillium Web"/>
                <w:i/>
                <w:iCs/>
                <w:szCs w:val="24"/>
              </w:rPr>
            </w:pPr>
            <w:r w:rsidRPr="00AB445E">
              <w:rPr>
                <w:rFonts w:ascii="Titillium Web" w:hAnsi="Titillium Web"/>
                <w:i/>
                <w:iCs/>
                <w:szCs w:val="24"/>
              </w:rPr>
              <w:t>1 candelabro? di ferro, con lo stelo incurvatosi da pon. a lev.</w:t>
            </w:r>
          </w:p>
          <w:p w14:paraId="1235D7E2" w14:textId="77777777" w:rsidR="004378E0" w:rsidRPr="00AB445E" w:rsidRDefault="00A07152">
            <w:pPr>
              <w:rPr>
                <w:rFonts w:ascii="Titillium Web" w:hAnsi="Titillium Web"/>
                <w:i/>
                <w:iCs/>
                <w:szCs w:val="24"/>
              </w:rPr>
            </w:pPr>
            <w:r w:rsidRPr="00AB445E">
              <w:rPr>
                <w:rFonts w:ascii="Titillium Web" w:hAnsi="Titillium Web"/>
                <w:i/>
                <w:iCs/>
                <w:szCs w:val="24"/>
              </w:rPr>
              <w:t>È ossidato sformato e al momento di raccoglierlo è crollato in frantumi.</w:t>
            </w:r>
          </w:p>
          <w:p w14:paraId="36A7BA71" w14:textId="77777777" w:rsidR="004378E0" w:rsidRPr="00AB445E" w:rsidRDefault="00A07152">
            <w:pPr>
              <w:rPr>
                <w:rFonts w:ascii="Titillium Web" w:hAnsi="Titillium Web"/>
                <w:i/>
                <w:iCs/>
                <w:szCs w:val="24"/>
              </w:rPr>
            </w:pPr>
            <w:r w:rsidRPr="00AB445E">
              <w:rPr>
                <w:rFonts w:ascii="Titillium Web" w:hAnsi="Titillium Web"/>
                <w:i/>
                <w:iCs/>
                <w:szCs w:val="24"/>
              </w:rPr>
              <w:t>Presso la testa del candelabro:</w:t>
            </w:r>
          </w:p>
          <w:p w14:paraId="5BA84383" w14:textId="77777777" w:rsidR="004378E0" w:rsidRPr="00AB445E" w:rsidRDefault="00A07152">
            <w:pPr>
              <w:rPr>
                <w:rFonts w:ascii="Titillium Web" w:hAnsi="Titillium Web"/>
                <w:i/>
                <w:iCs/>
                <w:szCs w:val="24"/>
              </w:rPr>
            </w:pPr>
            <w:r w:rsidRPr="00AB445E">
              <w:rPr>
                <w:rFonts w:ascii="Titillium Web" w:hAnsi="Titillium Web"/>
                <w:i/>
                <w:iCs/>
                <w:szCs w:val="24"/>
              </w:rPr>
              <w:t>1 cotile a piede stretto, di argilla giallo chiara, con disegni inabili di palmette e spirali (forse un testone) di una vernice bruno-scura: è in frammenti.</w:t>
            </w:r>
          </w:p>
          <w:p w14:paraId="6132D6D9" w14:textId="77777777" w:rsidR="004378E0" w:rsidRPr="00AB445E" w:rsidRDefault="00A07152">
            <w:pPr>
              <w:rPr>
                <w:rFonts w:ascii="Titillium Web" w:hAnsi="Titillium Web"/>
                <w:i/>
                <w:iCs/>
                <w:szCs w:val="24"/>
              </w:rPr>
            </w:pPr>
            <w:r w:rsidRPr="00AB445E">
              <w:rPr>
                <w:rFonts w:ascii="Titillium Web" w:hAnsi="Titillium Web"/>
                <w:i/>
                <w:iCs/>
                <w:szCs w:val="24"/>
              </w:rPr>
              <w:t>Lì presso, fra il cumulo, (sotto il cotile)</w:t>
            </w:r>
          </w:p>
          <w:p w14:paraId="76693000" w14:textId="77777777" w:rsidR="004378E0" w:rsidRPr="00AB445E" w:rsidRDefault="00A07152">
            <w:pPr>
              <w:rPr>
                <w:rFonts w:ascii="Titillium Web" w:hAnsi="Titillium Web"/>
                <w:i/>
                <w:iCs/>
                <w:szCs w:val="24"/>
              </w:rPr>
            </w:pPr>
            <w:r w:rsidRPr="00AB445E">
              <w:rPr>
                <w:rFonts w:ascii="Titillium Web" w:hAnsi="Titillium Web"/>
                <w:i/>
                <w:iCs/>
                <w:szCs w:val="24"/>
              </w:rPr>
              <w:t>1 lucernina o ascos, di forma discoidale schiacciata, con larga ansa semicircolare e con bocchino rotondo.</w:t>
            </w:r>
          </w:p>
          <w:p w14:paraId="3C6362CA" w14:textId="77777777" w:rsidR="004378E0" w:rsidRPr="00AB445E" w:rsidRDefault="00A07152">
            <w:pPr>
              <w:rPr>
                <w:rFonts w:ascii="Titillium Web" w:hAnsi="Titillium Web"/>
                <w:i/>
                <w:iCs/>
                <w:szCs w:val="24"/>
              </w:rPr>
            </w:pPr>
            <w:r w:rsidRPr="00AB445E">
              <w:rPr>
                <w:rFonts w:ascii="Titillium Web" w:hAnsi="Titillium Web"/>
                <w:i/>
                <w:iCs/>
                <w:szCs w:val="24"/>
              </w:rPr>
              <w:t>La parte superiore della lucerna è verniciata con tinta bruno-scura. è marcita e completamente schiacciata come una frittella.</w:t>
            </w:r>
          </w:p>
          <w:p w14:paraId="4BD1C3B6" w14:textId="77777777" w:rsidR="004378E0" w:rsidRPr="00AB445E" w:rsidRDefault="00A07152">
            <w:pPr>
              <w:rPr>
                <w:rFonts w:ascii="Titillium Web" w:hAnsi="Titillium Web"/>
                <w:i/>
                <w:iCs/>
                <w:szCs w:val="24"/>
              </w:rPr>
            </w:pPr>
            <w:r w:rsidRPr="00AB445E">
              <w:rPr>
                <w:rFonts w:ascii="Titillium Web" w:hAnsi="Titillium Web"/>
                <w:i/>
                <w:iCs/>
                <w:szCs w:val="24"/>
              </w:rPr>
              <w:t>Non credo si possa restaurare.</w:t>
            </w:r>
          </w:p>
          <w:p w14:paraId="494DFF46" w14:textId="77777777" w:rsidR="004378E0" w:rsidRPr="00AB445E" w:rsidRDefault="00A07152">
            <w:pPr>
              <w:rPr>
                <w:rFonts w:ascii="Titillium Web" w:hAnsi="Titillium Web"/>
                <w:i/>
                <w:iCs/>
                <w:szCs w:val="24"/>
              </w:rPr>
            </w:pPr>
            <w:r w:rsidRPr="00AB445E">
              <w:rPr>
                <w:rFonts w:ascii="Titillium Web" w:hAnsi="Titillium Web"/>
                <w:i/>
                <w:iCs/>
                <w:szCs w:val="24"/>
              </w:rPr>
              <w:t>1 altra lucernina simile per la forma, ma con ansa ad anello e nel centro superiore ha il cavetto bucherellato per farvi entrare l’olio.</w:t>
            </w:r>
          </w:p>
          <w:p w14:paraId="5046F852" w14:textId="77777777" w:rsidR="004378E0" w:rsidRPr="00AB445E" w:rsidRDefault="00A07152">
            <w:pPr>
              <w:rPr>
                <w:rFonts w:ascii="Titillium Web" w:hAnsi="Titillium Web"/>
                <w:i/>
                <w:iCs/>
                <w:szCs w:val="24"/>
              </w:rPr>
            </w:pPr>
            <w:r w:rsidRPr="00AB445E">
              <w:rPr>
                <w:rFonts w:ascii="Titillium Web" w:hAnsi="Titillium Web"/>
                <w:i/>
                <w:iCs/>
                <w:szCs w:val="24"/>
              </w:rPr>
              <w:t>È decorata (con tinta bruno nerastra) nella parte superiore, di un ramo di foglie (in rosso risparmiato) che gira in tondo. Di disegno assai trascurato e di fattura dozzinale.</w:t>
            </w:r>
          </w:p>
          <w:p w14:paraId="4DB13E1A" w14:textId="77777777" w:rsidR="004378E0" w:rsidRPr="00AB445E" w:rsidRDefault="00A07152">
            <w:pPr>
              <w:rPr>
                <w:rFonts w:ascii="Titillium Web" w:hAnsi="Titillium Web"/>
                <w:i/>
                <w:iCs/>
                <w:szCs w:val="24"/>
              </w:rPr>
            </w:pPr>
            <w:r w:rsidRPr="00AB445E">
              <w:rPr>
                <w:rFonts w:ascii="Titillium Web" w:hAnsi="Titillium Web"/>
                <w:i/>
                <w:iCs/>
                <w:szCs w:val="24"/>
              </w:rPr>
              <w:t>Sembra intera (con qualche crinatura) ha però l’ansa staccata e il beccuccio slabbrato.</w:t>
            </w:r>
          </w:p>
          <w:p w14:paraId="23A83CE5" w14:textId="77777777" w:rsidR="004378E0" w:rsidRPr="00AB445E" w:rsidRDefault="00A07152">
            <w:pPr>
              <w:rPr>
                <w:rFonts w:ascii="Titillium Web" w:hAnsi="Titillium Web"/>
                <w:i/>
                <w:iCs/>
                <w:szCs w:val="24"/>
              </w:rPr>
            </w:pPr>
            <w:r w:rsidRPr="00AB445E">
              <w:rPr>
                <w:rFonts w:ascii="Titillium Web" w:hAnsi="Titillium Web"/>
                <w:i/>
                <w:iCs/>
                <w:szCs w:val="24"/>
              </w:rPr>
              <w:t>Scendendo verso sud-est era:</w:t>
            </w:r>
          </w:p>
          <w:p w14:paraId="0834E1AE" w14:textId="77777777" w:rsidR="004378E0" w:rsidRPr="00AB445E" w:rsidRDefault="00A07152">
            <w:pPr>
              <w:rPr>
                <w:rFonts w:ascii="Titillium Web" w:hAnsi="Titillium Web"/>
                <w:i/>
                <w:iCs/>
                <w:szCs w:val="24"/>
              </w:rPr>
            </w:pPr>
            <w:r w:rsidRPr="00AB445E">
              <w:rPr>
                <w:rFonts w:ascii="Titillium Web" w:hAnsi="Titillium Web"/>
                <w:i/>
                <w:iCs/>
                <w:szCs w:val="24"/>
              </w:rPr>
              <w:t>1 altro oinochoe a bocca trilobata, di forma a fiasco (simile al precedente) ma in frammenti.</w:t>
            </w:r>
          </w:p>
          <w:p w14:paraId="6FC2846F" w14:textId="77777777" w:rsidR="004378E0" w:rsidRPr="00AB445E" w:rsidRDefault="00A07152">
            <w:pPr>
              <w:rPr>
                <w:rFonts w:ascii="Titillium Web" w:hAnsi="Titillium Web"/>
                <w:i/>
                <w:iCs/>
                <w:szCs w:val="24"/>
              </w:rPr>
            </w:pPr>
            <w:r w:rsidRPr="00AB445E">
              <w:rPr>
                <w:rFonts w:ascii="Titillium Web" w:hAnsi="Titillium Web"/>
                <w:i/>
                <w:iCs/>
                <w:szCs w:val="24"/>
              </w:rPr>
              <w:t>Lì presso:</w:t>
            </w:r>
          </w:p>
          <w:p w14:paraId="145F8752" w14:textId="77777777" w:rsidR="004378E0" w:rsidRPr="00AB445E" w:rsidRDefault="00A07152">
            <w:pPr>
              <w:rPr>
                <w:rFonts w:ascii="Titillium Web" w:hAnsi="Titillium Web"/>
                <w:i/>
                <w:iCs/>
                <w:szCs w:val="24"/>
              </w:rPr>
            </w:pPr>
            <w:r w:rsidRPr="00AB445E">
              <w:rPr>
                <w:rFonts w:ascii="Titillium Web" w:hAnsi="Titillium Web"/>
                <w:i/>
                <w:iCs/>
                <w:szCs w:val="24"/>
              </w:rPr>
              <w:t>1 lekane con coperchi figurato (disegni di donne a figura intera). Il disegno è scadente, è in frammenti, ma restaurabile.</w:t>
            </w:r>
          </w:p>
          <w:p w14:paraId="2FD704F8" w14:textId="77777777" w:rsidR="004378E0" w:rsidRPr="00AB445E" w:rsidRDefault="00A07152">
            <w:pPr>
              <w:rPr>
                <w:rFonts w:ascii="Titillium Web" w:hAnsi="Titillium Web"/>
                <w:i/>
                <w:iCs/>
                <w:szCs w:val="24"/>
              </w:rPr>
            </w:pPr>
            <w:r w:rsidRPr="00AB445E">
              <w:rPr>
                <w:rFonts w:ascii="Titillium Web" w:hAnsi="Titillium Web"/>
                <w:i/>
                <w:iCs/>
                <w:szCs w:val="24"/>
              </w:rPr>
              <w:t>Più a sud est si raccolsero:</w:t>
            </w:r>
          </w:p>
          <w:p w14:paraId="66E67010" w14:textId="77777777" w:rsidR="004378E0" w:rsidRPr="00AB445E" w:rsidRDefault="00A07152">
            <w:pPr>
              <w:rPr>
                <w:rFonts w:ascii="Titillium Web" w:hAnsi="Titillium Web"/>
                <w:i/>
                <w:iCs/>
                <w:szCs w:val="24"/>
              </w:rPr>
            </w:pPr>
            <w:r w:rsidRPr="00AB445E">
              <w:rPr>
                <w:rFonts w:ascii="Titillium Web" w:hAnsi="Titillium Web"/>
                <w:i/>
                <w:iCs/>
                <w:szCs w:val="24"/>
              </w:rPr>
              <w:t>1 altro cotile eguale al precedente per la forma e la qualità dell’argilla, ma decorato a tinta bruno-scura, con fascia circolare e grandi pennellate a forma di denti di lupo: è in frammenti</w:t>
            </w:r>
          </w:p>
          <w:p w14:paraId="31660B14" w14:textId="77777777" w:rsidR="004378E0" w:rsidRPr="00AB445E" w:rsidRDefault="00A07152">
            <w:pPr>
              <w:rPr>
                <w:rFonts w:ascii="Titillium Web" w:hAnsi="Titillium Web"/>
                <w:i/>
                <w:iCs/>
                <w:szCs w:val="24"/>
              </w:rPr>
            </w:pPr>
            <w:r w:rsidRPr="00AB445E">
              <w:rPr>
                <w:rFonts w:ascii="Titillium Web" w:hAnsi="Titillium Web"/>
                <w:i/>
                <w:iCs/>
                <w:szCs w:val="24"/>
              </w:rPr>
              <w:lastRenderedPageBreak/>
              <w:t>1 grande scodella, con piede a listello a vernice nera, scadente, con palmette impresse nell’interno. è in frammenti ma restaurabile.</w:t>
            </w:r>
          </w:p>
          <w:p w14:paraId="32C3BC02" w14:textId="77777777" w:rsidR="004378E0" w:rsidRPr="00AB445E" w:rsidRDefault="00A07152">
            <w:pPr>
              <w:rPr>
                <w:rFonts w:ascii="Titillium Web" w:hAnsi="Titillium Web"/>
                <w:i/>
                <w:iCs/>
                <w:szCs w:val="24"/>
              </w:rPr>
            </w:pPr>
            <w:r w:rsidRPr="00AB445E">
              <w:rPr>
                <w:rFonts w:ascii="Titillium Web" w:hAnsi="Titillium Web"/>
                <w:i/>
                <w:iCs/>
                <w:szCs w:val="24"/>
              </w:rPr>
              <w:t>Era presso il cumulo centrale dei fittili insieme ad altre:</w:t>
            </w:r>
          </w:p>
          <w:p w14:paraId="1A1065FB" w14:textId="77777777" w:rsidR="004378E0" w:rsidRPr="00AB445E" w:rsidRDefault="00A07152">
            <w:pPr>
              <w:rPr>
                <w:rFonts w:ascii="Titillium Web" w:hAnsi="Titillium Web"/>
                <w:i/>
                <w:iCs/>
                <w:szCs w:val="24"/>
              </w:rPr>
            </w:pPr>
            <w:proofErr w:type="gramStart"/>
            <w:r w:rsidRPr="00AB445E">
              <w:rPr>
                <w:rFonts w:ascii="Titillium Web" w:hAnsi="Titillium Web"/>
                <w:i/>
                <w:iCs/>
                <w:szCs w:val="24"/>
              </w:rPr>
              <w:t>2</w:t>
            </w:r>
            <w:proofErr w:type="gramEnd"/>
            <w:r w:rsidRPr="00AB445E">
              <w:rPr>
                <w:rFonts w:ascii="Titillium Web" w:hAnsi="Titillium Web"/>
                <w:i/>
                <w:iCs/>
                <w:szCs w:val="24"/>
              </w:rPr>
              <w:t xml:space="preserve"> scodelle più piccole, a vern. nera, scadente in frammenti (una di queste non l’ho pulita all’interno poichè conserva appiccicati residui legnosi, abbondanti, del coperchio della cassa</w:t>
            </w:r>
          </w:p>
          <w:p w14:paraId="02250C14" w14:textId="77777777" w:rsidR="004378E0" w:rsidRPr="00AB445E" w:rsidRDefault="00A07152">
            <w:pPr>
              <w:rPr>
                <w:rFonts w:ascii="Titillium Web" w:hAnsi="Titillium Web"/>
                <w:i/>
                <w:iCs/>
                <w:szCs w:val="24"/>
              </w:rPr>
            </w:pPr>
            <w:proofErr w:type="gramStart"/>
            <w:r w:rsidRPr="00AB445E">
              <w:rPr>
                <w:rFonts w:ascii="Titillium Web" w:hAnsi="Titillium Web"/>
                <w:i/>
                <w:iCs/>
                <w:szCs w:val="24"/>
              </w:rPr>
              <w:t>2</w:t>
            </w:r>
            <w:proofErr w:type="gramEnd"/>
            <w:r w:rsidRPr="00AB445E">
              <w:rPr>
                <w:rFonts w:ascii="Titillium Web" w:hAnsi="Titillium Web"/>
                <w:i/>
                <w:iCs/>
                <w:szCs w:val="24"/>
              </w:rPr>
              <w:t xml:space="preserve"> altre scodelle simili, di argilla cenere scuro, crinate, senza vernice</w:t>
            </w:r>
          </w:p>
          <w:p w14:paraId="624D1017" w14:textId="77777777" w:rsidR="004378E0" w:rsidRPr="00AB445E" w:rsidRDefault="00A07152">
            <w:pPr>
              <w:rPr>
                <w:rFonts w:ascii="Titillium Web" w:hAnsi="Titillium Web"/>
                <w:i/>
                <w:iCs/>
                <w:szCs w:val="24"/>
              </w:rPr>
            </w:pPr>
            <w:r w:rsidRPr="00AB445E">
              <w:rPr>
                <w:rFonts w:ascii="Titillium Web" w:hAnsi="Titillium Web"/>
                <w:i/>
                <w:iCs/>
                <w:szCs w:val="24"/>
              </w:rPr>
              <w:t>2 piattellini di argilla cenere scuro, senza vernice e con piede a listello</w:t>
            </w:r>
          </w:p>
          <w:p w14:paraId="416F1E5F" w14:textId="77777777" w:rsidR="004378E0" w:rsidRPr="00AB445E" w:rsidRDefault="00A07152">
            <w:pPr>
              <w:rPr>
                <w:rFonts w:ascii="Titillium Web" w:hAnsi="Titillium Web"/>
                <w:i/>
                <w:iCs/>
                <w:szCs w:val="24"/>
              </w:rPr>
            </w:pPr>
            <w:r w:rsidRPr="00AB445E">
              <w:rPr>
                <w:rFonts w:ascii="Titillium Web" w:hAnsi="Titillium Web"/>
                <w:i/>
                <w:iCs/>
                <w:szCs w:val="24"/>
              </w:rPr>
              <w:t>1 altro simile con pieduccio alto</w:t>
            </w:r>
          </w:p>
          <w:p w14:paraId="5EECEF16" w14:textId="77777777" w:rsidR="004378E0" w:rsidRPr="00AB445E" w:rsidRDefault="00A07152">
            <w:pPr>
              <w:rPr>
                <w:rFonts w:ascii="Titillium Web" w:hAnsi="Titillium Web"/>
                <w:i/>
                <w:iCs/>
                <w:szCs w:val="24"/>
              </w:rPr>
            </w:pPr>
            <w:proofErr w:type="gramStart"/>
            <w:r w:rsidRPr="00AB445E">
              <w:rPr>
                <w:rFonts w:ascii="Titillium Web" w:hAnsi="Titillium Web"/>
                <w:i/>
                <w:iCs/>
                <w:szCs w:val="24"/>
              </w:rPr>
              <w:t>2</w:t>
            </w:r>
            <w:proofErr w:type="gramEnd"/>
            <w:r w:rsidRPr="00AB445E">
              <w:rPr>
                <w:rFonts w:ascii="Titillium Web" w:hAnsi="Titillium Web"/>
                <w:i/>
                <w:iCs/>
                <w:szCs w:val="24"/>
              </w:rPr>
              <w:t xml:space="preserve"> altre scodelle a vern. nera discreta, erano nella parte sud-est dietro l’oinocoe trilobato e il cotile: una ha le anse orizzontali ed è frammentaria e mancante di una metà di ansa; l’altra è una scodella comune, senza anse, con piede a listello: è anch’essa frammentaria. Reca graffito nell’interno in caratteri etruschi: [ndr: presente il disegno dell’iscrizione]</w:t>
            </w:r>
          </w:p>
        </w:tc>
      </w:tr>
      <w:tr w:rsidR="0086297F" w:rsidRPr="00AB445E" w14:paraId="1429C2F3" w14:textId="77777777" w:rsidTr="002665C6">
        <w:trPr>
          <w:jc w:val="center"/>
        </w:trPr>
        <w:tc>
          <w:tcPr>
            <w:tcW w:w="1650" w:type="pct"/>
            <w:vAlign w:val="center"/>
          </w:tcPr>
          <w:p w14:paraId="7F398080"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lastRenderedPageBreak/>
              <w:t>Posizione del corredo</w:t>
            </w:r>
          </w:p>
        </w:tc>
        <w:tc>
          <w:tcPr>
            <w:tcW w:w="3350" w:type="pct"/>
            <w:vAlign w:val="center"/>
          </w:tcPr>
          <w:p w14:paraId="5C03ADA7" w14:textId="7BF3AD8D" w:rsidR="0086297F" w:rsidRPr="00AB445E" w:rsidRDefault="0086297F" w:rsidP="002665C6">
            <w:pPr>
              <w:jc w:val="center"/>
              <w:rPr>
                <w:rFonts w:ascii="Titillium Web" w:hAnsi="Titillium Web"/>
                <w:szCs w:val="24"/>
              </w:rPr>
            </w:pPr>
            <w:r w:rsidRPr="00AB445E">
              <w:rPr>
                <w:rFonts w:ascii="Titillium Web" w:hAnsi="Titillium Web"/>
                <w:szCs w:val="24"/>
              </w:rPr>
              <w:t>Fianco destro</w:t>
            </w:r>
          </w:p>
        </w:tc>
      </w:tr>
      <w:tr w:rsidR="0086297F" w:rsidRPr="00AB445E" w14:paraId="71A0E4AF" w14:textId="77777777" w:rsidTr="002665C6">
        <w:trPr>
          <w:jc w:val="center"/>
        </w:trPr>
        <w:tc>
          <w:tcPr>
            <w:tcW w:w="1650" w:type="pct"/>
            <w:vAlign w:val="center"/>
          </w:tcPr>
          <w:p w14:paraId="2128B19B"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Genere (legato all’analisi del corredo)</w:t>
            </w:r>
          </w:p>
        </w:tc>
        <w:tc>
          <w:tcPr>
            <w:tcW w:w="3350" w:type="pct"/>
            <w:vAlign w:val="center"/>
          </w:tcPr>
          <w:p w14:paraId="31324C2B" w14:textId="4E55E405" w:rsidR="0086297F" w:rsidRPr="00AB445E" w:rsidRDefault="0086297F" w:rsidP="002665C6">
            <w:pPr>
              <w:jc w:val="center"/>
              <w:rPr>
                <w:rFonts w:ascii="Titillium Web" w:hAnsi="Titillium Web"/>
                <w:szCs w:val="24"/>
              </w:rPr>
            </w:pPr>
            <w:proofErr w:type="gramStart"/>
            <w:r w:rsidRPr="00AB445E">
              <w:rPr>
                <w:rFonts w:ascii="Titillium Web" w:hAnsi="Titillium Web"/>
                <w:szCs w:val="24"/>
              </w:rPr>
              <w:t>Femminile ?</w:t>
            </w:r>
            <w:proofErr w:type="gramEnd"/>
          </w:p>
        </w:tc>
      </w:tr>
      <w:tr w:rsidR="0086297F" w:rsidRPr="00AB445E" w14:paraId="17633947" w14:textId="77777777" w:rsidTr="002665C6">
        <w:trPr>
          <w:jc w:val="center"/>
        </w:trPr>
        <w:tc>
          <w:tcPr>
            <w:tcW w:w="1650" w:type="pct"/>
            <w:vAlign w:val="center"/>
          </w:tcPr>
          <w:p w14:paraId="44721053"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Sesso (legato alle analisi antropologiche)</w:t>
            </w:r>
          </w:p>
        </w:tc>
        <w:tc>
          <w:tcPr>
            <w:tcW w:w="3350" w:type="pct"/>
            <w:vAlign w:val="center"/>
          </w:tcPr>
          <w:p w14:paraId="66E918A4" w14:textId="50197FF0" w:rsidR="0086297F" w:rsidRPr="00AB445E" w:rsidRDefault="0086297F" w:rsidP="002665C6">
            <w:pPr>
              <w:jc w:val="center"/>
              <w:rPr>
                <w:rFonts w:ascii="Titillium Web" w:hAnsi="Titillium Web"/>
                <w:szCs w:val="24"/>
              </w:rPr>
            </w:pPr>
            <w:r w:rsidRPr="00AB445E">
              <w:rPr>
                <w:rFonts w:ascii="Titillium Web" w:hAnsi="Titillium Web"/>
                <w:szCs w:val="24"/>
              </w:rPr>
              <w:t>Non determinabile</w:t>
            </w:r>
          </w:p>
        </w:tc>
      </w:tr>
      <w:tr w:rsidR="0086297F" w:rsidRPr="00AB445E" w14:paraId="0588946D" w14:textId="77777777" w:rsidTr="002665C6">
        <w:trPr>
          <w:jc w:val="center"/>
        </w:trPr>
        <w:tc>
          <w:tcPr>
            <w:tcW w:w="1650" w:type="pct"/>
            <w:vAlign w:val="center"/>
          </w:tcPr>
          <w:p w14:paraId="54990945"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Classi di età</w:t>
            </w:r>
          </w:p>
        </w:tc>
        <w:tc>
          <w:tcPr>
            <w:tcW w:w="3350" w:type="pct"/>
            <w:vAlign w:val="center"/>
          </w:tcPr>
          <w:p w14:paraId="0E0589EA" w14:textId="7D4DF825" w:rsidR="0086297F" w:rsidRPr="00AB445E" w:rsidRDefault="0086297F" w:rsidP="002665C6">
            <w:pPr>
              <w:jc w:val="center"/>
              <w:rPr>
                <w:rFonts w:ascii="Titillium Web" w:hAnsi="Titillium Web"/>
                <w:szCs w:val="24"/>
              </w:rPr>
            </w:pPr>
            <w:r w:rsidRPr="00AB445E">
              <w:rPr>
                <w:rFonts w:ascii="Titillium Web" w:hAnsi="Titillium Web"/>
                <w:szCs w:val="24"/>
              </w:rPr>
              <w:t>Subadulto</w:t>
            </w:r>
          </w:p>
        </w:tc>
      </w:tr>
      <w:tr w:rsidR="0086297F" w:rsidRPr="00AB445E" w14:paraId="1FFA88A1" w14:textId="77777777" w:rsidTr="002665C6">
        <w:trPr>
          <w:jc w:val="center"/>
        </w:trPr>
        <w:tc>
          <w:tcPr>
            <w:tcW w:w="1650" w:type="pct"/>
            <w:vAlign w:val="center"/>
          </w:tcPr>
          <w:p w14:paraId="63B2D8D6" w14:textId="77777777" w:rsidR="0086297F" w:rsidRPr="00AB445E" w:rsidRDefault="0086297F" w:rsidP="002665C6">
            <w:pPr>
              <w:jc w:val="center"/>
              <w:rPr>
                <w:rFonts w:ascii="Titillium Web" w:hAnsi="Titillium Web"/>
                <w:smallCaps/>
                <w:szCs w:val="24"/>
              </w:rPr>
            </w:pPr>
            <w:r w:rsidRPr="00AB445E">
              <w:rPr>
                <w:rFonts w:ascii="Titillium Web" w:hAnsi="Titillium Web"/>
                <w:smallCaps/>
                <w:szCs w:val="24"/>
              </w:rPr>
              <w:t>Bibliografia essenziale</w:t>
            </w:r>
          </w:p>
        </w:tc>
        <w:tc>
          <w:tcPr>
            <w:tcW w:w="3350" w:type="pct"/>
            <w:vAlign w:val="center"/>
          </w:tcPr>
          <w:p w14:paraId="429D1142" w14:textId="034AC838" w:rsidR="004378E0" w:rsidRPr="00AB445E" w:rsidRDefault="00A07152" w:rsidP="00AB445E">
            <w:pPr>
              <w:jc w:val="center"/>
              <w:rPr>
                <w:rFonts w:ascii="Titillium Web" w:hAnsi="Titillium Web"/>
                <w:szCs w:val="24"/>
              </w:rPr>
            </w:pPr>
            <w:r w:rsidRPr="00AB445E">
              <w:rPr>
                <w:rFonts w:ascii="Titillium Web" w:eastAsia="Titillium" w:hAnsi="Titillium Web" w:cs="Titillium"/>
                <w:smallCaps/>
                <w:szCs w:val="24"/>
              </w:rPr>
              <w:t>Felletti-Maj</w:t>
            </w:r>
            <w:r w:rsidRPr="00AB445E">
              <w:rPr>
                <w:rFonts w:ascii="Titillium Web" w:eastAsia="Titillium" w:hAnsi="Titillium Web" w:cs="Titillium"/>
                <w:szCs w:val="24"/>
              </w:rPr>
              <w:t xml:space="preserve"> 1940, pp. 338-339; </w:t>
            </w:r>
            <w:r w:rsidR="00AB445E" w:rsidRPr="00AB445E">
              <w:rPr>
                <w:rFonts w:ascii="Titillium Web" w:eastAsia="Titillium" w:hAnsi="Titillium Web" w:cs="Titillium"/>
                <w:i/>
                <w:iCs/>
                <w:szCs w:val="24"/>
              </w:rPr>
              <w:t>Classico Anticlassico</w:t>
            </w:r>
            <w:r w:rsidR="00AB445E" w:rsidRPr="00AB445E">
              <w:rPr>
                <w:rFonts w:ascii="Titillium Web" w:eastAsia="Titillium" w:hAnsi="Titillium Web" w:cs="Titillium"/>
                <w:szCs w:val="24"/>
              </w:rPr>
              <w:t xml:space="preserve"> 1996, pp. 122-123, n. 31.00; </w:t>
            </w:r>
            <w:r w:rsidRPr="00AB445E">
              <w:rPr>
                <w:rFonts w:ascii="Titillium Web" w:eastAsia="Titillium" w:hAnsi="Titillium Web" w:cs="Titillium"/>
                <w:smallCaps/>
                <w:szCs w:val="24"/>
              </w:rPr>
              <w:t>Serra</w:t>
            </w:r>
            <w:r w:rsidRPr="00AB445E">
              <w:rPr>
                <w:rFonts w:ascii="Titillium Web" w:eastAsia="Titillium" w:hAnsi="Titillium Web" w:cs="Titillium"/>
                <w:szCs w:val="24"/>
              </w:rPr>
              <w:t xml:space="preserve"> 2016-2017; </w:t>
            </w:r>
            <w:r w:rsidRPr="00AB445E">
              <w:rPr>
                <w:rFonts w:ascii="Titillium Web" w:eastAsia="Titillium" w:hAnsi="Titillium Web" w:cs="Titillium"/>
                <w:smallCaps/>
                <w:szCs w:val="24"/>
              </w:rPr>
              <w:t>Serra</w:t>
            </w:r>
            <w:r w:rsidRPr="00AB445E">
              <w:rPr>
                <w:rFonts w:ascii="Titillium Web" w:eastAsia="Titillium" w:hAnsi="Titillium Web" w:cs="Titillium"/>
                <w:szCs w:val="24"/>
              </w:rPr>
              <w:t xml:space="preserve"> 2025, p. 245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378E0"/>
    <w:rsid w:val="00472AF4"/>
    <w:rsid w:val="00551AF8"/>
    <w:rsid w:val="005B5AFF"/>
    <w:rsid w:val="006162A4"/>
    <w:rsid w:val="006346F7"/>
    <w:rsid w:val="006D6EFB"/>
    <w:rsid w:val="007145BC"/>
    <w:rsid w:val="0086297F"/>
    <w:rsid w:val="00900CA0"/>
    <w:rsid w:val="009E4922"/>
    <w:rsid w:val="00AB321D"/>
    <w:rsid w:val="00AB445E"/>
    <w:rsid w:val="00B165C4"/>
    <w:rsid w:val="00C21EE0"/>
    <w:rsid w:val="00D900AB"/>
    <w:rsid w:val="00D936E8"/>
    <w:rsid w:val="00DC7245"/>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2026-05-13T20:23:00Z</dcterms:modified>
</cp:coreProperties>
</file>