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869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4869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869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869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869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4869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869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869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869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232EB1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Tomba 1190 a cremazione</w:t>
            </w:r>
          </w:p>
          <w:p w14:paraId="2BC31B03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(sconvolta?)</w:t>
            </w:r>
          </w:p>
          <w:p w14:paraId="76F00C57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A m 87 dal Donna Bianca, a m 46 dalla poderale (a lev.) e a m 0,85 di profondità si rinviene una tomba a cremazione.</w:t>
            </w:r>
          </w:p>
          <w:p w14:paraId="72166608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Un mucchietto di ossa combuste a ponente, e</w:t>
            </w:r>
          </w:p>
          <w:p w14:paraId="605527A2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1 una lucerna del tipo circolare con larga ansa a nastro, semicircolare, schiacciata e in frammenti che è un poco più a levante.</w:t>
            </w:r>
          </w:p>
          <w:p w14:paraId="3DDE4CE4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Le ossa combuste sono un tantino sparpagliate e lucerna è rovesciata e distante dalle ossa combuste (dista da queste m. 0,50). Si ha la sensazione che questa tomba sia stata manomessa.</w:t>
            </w:r>
          </w:p>
          <w:p w14:paraId="143894E8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La lucerna, nella parte superiore è decorata con disegni di animali fantastici e con teste umane femminili (di assai trascurato disegno). Non posso assicurate il suo restauro.</w:t>
            </w:r>
          </w:p>
          <w:p w14:paraId="59B54619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Frammezzo alle ossa combuste, sconvolte, si rinvennero avanzi o briciole di piattelli di argilla cenerognola, grezzi e marciti</w:t>
            </w:r>
          </w:p>
          <w:p w14:paraId="1A4F014E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è 1 grano di vetro, fuso nel rogo.</w:t>
            </w:r>
          </w:p>
          <w:p w14:paraId="63F1C71B" w14:textId="77777777" w:rsidR="001D20BA" w:rsidRPr="00486901" w:rsidRDefault="0029507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6901">
              <w:rPr>
                <w:rFonts w:ascii="Titillium Web" w:hAnsi="Titillium Web"/>
                <w:i/>
                <w:iCs/>
                <w:szCs w:val="24"/>
              </w:rPr>
              <w:t>Sull’ansa della lucerna sono graffiti i caratteri seguenti [ndr: presente disegno dell’iscrizione]</w:t>
            </w:r>
          </w:p>
        </w:tc>
      </w:tr>
      <w:tr w:rsidR="0086297F" w:rsidRPr="004869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869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86901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869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69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869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4869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869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690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D70325F" w14:textId="633671C2" w:rsidR="001D20BA" w:rsidRPr="00486901" w:rsidRDefault="00295079" w:rsidP="00486901">
            <w:pPr>
              <w:jc w:val="center"/>
              <w:rPr>
                <w:rFonts w:ascii="Titillium Web" w:hAnsi="Titillium Web"/>
                <w:szCs w:val="24"/>
              </w:rPr>
            </w:pPr>
            <w:r w:rsidRPr="00486901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486901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486901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486901">
              <w:rPr>
                <w:rFonts w:ascii="Titillium Web" w:eastAsia="Titillium" w:hAnsi="Titillium Web" w:cs="Titillium"/>
                <w:szCs w:val="24"/>
              </w:rPr>
              <w:t xml:space="preserve"> 1978, pp. 94-95; </w:t>
            </w:r>
            <w:r w:rsidRPr="0048690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86901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="00486901" w:rsidRPr="0048690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="00486901" w:rsidRPr="00486901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486901" w:rsidRPr="00486901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="00486901" w:rsidRPr="00486901">
              <w:rPr>
                <w:rFonts w:ascii="Titillium Web" w:eastAsia="Titillium" w:hAnsi="Titillium Web" w:cs="Titillium"/>
                <w:szCs w:val="24"/>
              </w:rPr>
              <w:t xml:space="preserve"> 2019, p. 416</w:t>
            </w:r>
            <w:r w:rsidR="00486901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48690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86901">
              <w:rPr>
                <w:rFonts w:ascii="Titillium Web" w:eastAsia="Titillium" w:hAnsi="Titillium Web" w:cs="Titillium"/>
                <w:szCs w:val="24"/>
              </w:rPr>
              <w:t xml:space="preserve"> 2025, p. 233; 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20BA"/>
    <w:rsid w:val="002977D7"/>
    <w:rsid w:val="00472AF4"/>
    <w:rsid w:val="00486901"/>
    <w:rsid w:val="004C6DDA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2026-05-13T20:17:00Z</dcterms:modified>
</cp:coreProperties>
</file>