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1191</w:t>
      </w:r>
    </w:p>
    <w:tbl>
      <w:tblPr>
        <w:tblStyle w:val="Grigliatabella"/>
        <w:tblW w:w="5000" w:type="pct"/>
        <w:jc w:val="center"/>
        <w:tblLook w:val="04A0" w:firstRow="1" w:lastRow="0" w:firstColumn="1" w:lastColumn="0" w:noHBand="0" w:noVBand="1"/>
      </w:tblPr>
      <w:tblGrid>
        <w:gridCol w:w="2990"/>
        <w:gridCol w:w="6070"/>
      </w:tblGrid>
      <w:tr w:rsidR="0086297F" w:rsidRPr="00487EAE" w14:paraId="69604347" w14:textId="77777777" w:rsidTr="002665C6">
        <w:trPr>
          <w:jc w:val="center"/>
        </w:trPr>
        <w:tc>
          <w:tcPr>
            <w:tcW w:w="1650" w:type="pct"/>
            <w:vAlign w:val="center"/>
          </w:tcPr>
          <w:p w14:paraId="59258D49" w14:textId="77777777" w:rsidR="0086297F" w:rsidRPr="00487EAE" w:rsidRDefault="0086297F" w:rsidP="002665C6">
            <w:pPr>
              <w:jc w:val="center"/>
              <w:rPr>
                <w:rFonts w:ascii="Titillium Web" w:hAnsi="Titillium Web"/>
                <w:smallCaps/>
                <w:szCs w:val="24"/>
              </w:rPr>
            </w:pPr>
            <w:r w:rsidRPr="00487EAE">
              <w:rPr>
                <w:rFonts w:ascii="Titillium Web" w:hAnsi="Titillium Web"/>
                <w:smallCaps/>
                <w:szCs w:val="24"/>
              </w:rPr>
              <w:t>Anno di rinvenimento</w:t>
            </w:r>
          </w:p>
        </w:tc>
        <w:tc>
          <w:tcPr>
            <w:tcW w:w="3350" w:type="pct"/>
            <w:vAlign w:val="center"/>
          </w:tcPr>
          <w:p w14:paraId="10AA1E7C" w14:textId="59BFE2EE" w:rsidR="0086297F" w:rsidRPr="00487EAE" w:rsidRDefault="0086297F" w:rsidP="002665C6">
            <w:pPr>
              <w:jc w:val="center"/>
              <w:rPr>
                <w:rFonts w:ascii="Titillium Web" w:hAnsi="Titillium Web"/>
                <w:szCs w:val="24"/>
              </w:rPr>
            </w:pPr>
            <w:r w:rsidRPr="00487EAE">
              <w:rPr>
                <w:rFonts w:ascii="Titillium Web" w:hAnsi="Titillium Web"/>
                <w:szCs w:val="24"/>
              </w:rPr>
              <w:t>1935</w:t>
            </w:r>
          </w:p>
        </w:tc>
      </w:tr>
      <w:tr w:rsidR="0086297F" w:rsidRPr="00487EAE" w14:paraId="3B6B9C62" w14:textId="77777777" w:rsidTr="002665C6">
        <w:trPr>
          <w:jc w:val="center"/>
        </w:trPr>
        <w:tc>
          <w:tcPr>
            <w:tcW w:w="1650" w:type="pct"/>
            <w:vAlign w:val="center"/>
          </w:tcPr>
          <w:p w14:paraId="2D01D888" w14:textId="77777777" w:rsidR="0086297F" w:rsidRPr="00487EAE" w:rsidRDefault="0086297F" w:rsidP="002665C6">
            <w:pPr>
              <w:jc w:val="center"/>
              <w:rPr>
                <w:rFonts w:ascii="Titillium Web" w:hAnsi="Titillium Web"/>
                <w:smallCaps/>
                <w:szCs w:val="24"/>
              </w:rPr>
            </w:pPr>
            <w:r w:rsidRPr="00487EAE">
              <w:rPr>
                <w:rFonts w:ascii="Titillium Web" w:hAnsi="Titillium Web"/>
                <w:smallCaps/>
                <w:szCs w:val="24"/>
              </w:rPr>
              <w:t>Stato di conservazione della tomba</w:t>
            </w:r>
          </w:p>
        </w:tc>
        <w:tc>
          <w:tcPr>
            <w:tcW w:w="3350" w:type="pct"/>
            <w:vAlign w:val="center"/>
          </w:tcPr>
          <w:p w14:paraId="3ADC95CD" w14:textId="31719CCD" w:rsidR="0086297F" w:rsidRPr="00487EAE" w:rsidRDefault="0086297F" w:rsidP="002665C6">
            <w:pPr>
              <w:jc w:val="center"/>
              <w:rPr>
                <w:rFonts w:ascii="Titillium Web" w:hAnsi="Titillium Web"/>
                <w:szCs w:val="24"/>
              </w:rPr>
            </w:pPr>
            <w:r w:rsidRPr="00487EAE">
              <w:rPr>
                <w:rFonts w:ascii="Titillium Web" w:hAnsi="Titillium Web"/>
                <w:szCs w:val="24"/>
              </w:rPr>
              <w:t>Intatta</w:t>
            </w:r>
          </w:p>
        </w:tc>
      </w:tr>
      <w:tr w:rsidR="0086297F" w:rsidRPr="00487EAE" w14:paraId="3D165E1E" w14:textId="77777777" w:rsidTr="002665C6">
        <w:trPr>
          <w:jc w:val="center"/>
        </w:trPr>
        <w:tc>
          <w:tcPr>
            <w:tcW w:w="1650" w:type="pct"/>
            <w:vAlign w:val="center"/>
          </w:tcPr>
          <w:p w14:paraId="2A5B3D4F" w14:textId="77777777" w:rsidR="0086297F" w:rsidRPr="00487EAE" w:rsidRDefault="0086297F" w:rsidP="002665C6">
            <w:pPr>
              <w:jc w:val="center"/>
              <w:rPr>
                <w:rFonts w:ascii="Titillium Web" w:hAnsi="Titillium Web"/>
                <w:smallCaps/>
                <w:szCs w:val="24"/>
              </w:rPr>
            </w:pPr>
            <w:r w:rsidRPr="00487EAE">
              <w:rPr>
                <w:rFonts w:ascii="Titillium Web" w:hAnsi="Titillium Web"/>
                <w:smallCaps/>
                <w:szCs w:val="24"/>
              </w:rPr>
              <w:t>Rito di seppellimento</w:t>
            </w:r>
          </w:p>
        </w:tc>
        <w:tc>
          <w:tcPr>
            <w:tcW w:w="3350" w:type="pct"/>
            <w:vAlign w:val="center"/>
          </w:tcPr>
          <w:p w14:paraId="094BD426" w14:textId="6E99443A" w:rsidR="0086297F" w:rsidRPr="00487EAE" w:rsidRDefault="0086297F" w:rsidP="002665C6">
            <w:pPr>
              <w:jc w:val="center"/>
              <w:rPr>
                <w:rFonts w:ascii="Titillium Web" w:hAnsi="Titillium Web"/>
                <w:szCs w:val="24"/>
              </w:rPr>
            </w:pPr>
            <w:r w:rsidRPr="00487EAE">
              <w:rPr>
                <w:rFonts w:ascii="Titillium Web" w:hAnsi="Titillium Web"/>
                <w:szCs w:val="24"/>
              </w:rPr>
              <w:t>Cremazione</w:t>
            </w:r>
          </w:p>
        </w:tc>
      </w:tr>
      <w:tr w:rsidR="0086297F" w:rsidRPr="00487EAE" w14:paraId="44CADBCB" w14:textId="77777777" w:rsidTr="002665C6">
        <w:trPr>
          <w:jc w:val="center"/>
        </w:trPr>
        <w:tc>
          <w:tcPr>
            <w:tcW w:w="1650" w:type="pct"/>
            <w:vAlign w:val="center"/>
          </w:tcPr>
          <w:p w14:paraId="1E25741A" w14:textId="77777777" w:rsidR="0086297F" w:rsidRPr="00487EAE" w:rsidRDefault="0086297F" w:rsidP="002665C6">
            <w:pPr>
              <w:jc w:val="center"/>
              <w:rPr>
                <w:rFonts w:ascii="Titillium Web" w:hAnsi="Titillium Web"/>
                <w:smallCaps/>
                <w:szCs w:val="24"/>
              </w:rPr>
            </w:pPr>
            <w:r w:rsidRPr="00487EAE">
              <w:rPr>
                <w:rFonts w:ascii="Titillium Web" w:hAnsi="Titillium Web"/>
                <w:smallCaps/>
                <w:szCs w:val="24"/>
              </w:rPr>
              <w:t>Struttura tomba</w:t>
            </w:r>
          </w:p>
        </w:tc>
        <w:tc>
          <w:tcPr>
            <w:tcW w:w="3350" w:type="pct"/>
            <w:vAlign w:val="center"/>
          </w:tcPr>
          <w:p w14:paraId="1DE3BCB3" w14:textId="08DB6A85" w:rsidR="0086297F" w:rsidRPr="00487EAE" w:rsidRDefault="0086297F" w:rsidP="002665C6">
            <w:pPr>
              <w:jc w:val="center"/>
              <w:rPr>
                <w:rFonts w:ascii="Titillium Web" w:hAnsi="Titillium Web"/>
                <w:szCs w:val="24"/>
              </w:rPr>
            </w:pPr>
            <w:r w:rsidRPr="00487EAE">
              <w:rPr>
                <w:rFonts w:ascii="Titillium Web" w:hAnsi="Titillium Web"/>
                <w:szCs w:val="24"/>
              </w:rPr>
              <w:t>fossa con cassone ligneo</w:t>
            </w:r>
          </w:p>
        </w:tc>
      </w:tr>
      <w:tr w:rsidR="0086297F" w:rsidRPr="00487EAE" w14:paraId="47E1F943" w14:textId="77777777" w:rsidTr="002665C6">
        <w:trPr>
          <w:jc w:val="center"/>
        </w:trPr>
        <w:tc>
          <w:tcPr>
            <w:tcW w:w="1650" w:type="pct"/>
            <w:vAlign w:val="center"/>
          </w:tcPr>
          <w:p w14:paraId="355EE080" w14:textId="77777777" w:rsidR="0086297F" w:rsidRPr="00487EAE" w:rsidRDefault="0086297F" w:rsidP="002665C6">
            <w:pPr>
              <w:jc w:val="center"/>
              <w:rPr>
                <w:rFonts w:ascii="Titillium Web" w:hAnsi="Titillium Web"/>
                <w:smallCaps/>
                <w:szCs w:val="24"/>
              </w:rPr>
            </w:pPr>
            <w:r w:rsidRPr="00487EAE">
              <w:rPr>
                <w:rFonts w:ascii="Titillium Web" w:hAnsi="Titillium Web"/>
                <w:smallCaps/>
                <w:szCs w:val="24"/>
              </w:rPr>
              <w:t xml:space="preserve">Profondità dal piano di campagna </w:t>
            </w:r>
          </w:p>
        </w:tc>
        <w:tc>
          <w:tcPr>
            <w:tcW w:w="3350" w:type="pct"/>
            <w:vAlign w:val="center"/>
          </w:tcPr>
          <w:p w14:paraId="13D75B9B" w14:textId="6492371F" w:rsidR="0086297F" w:rsidRPr="00487EAE" w:rsidRDefault="0086297F" w:rsidP="002665C6">
            <w:pPr>
              <w:jc w:val="center"/>
              <w:rPr>
                <w:rFonts w:ascii="Titillium Web" w:hAnsi="Titillium Web"/>
                <w:szCs w:val="24"/>
              </w:rPr>
            </w:pPr>
            <w:r w:rsidRPr="00487EAE">
              <w:rPr>
                <w:rFonts w:ascii="Titillium Web" w:hAnsi="Titillium Web"/>
                <w:szCs w:val="24"/>
              </w:rPr>
              <w:t>0,85 m</w:t>
            </w:r>
          </w:p>
        </w:tc>
      </w:tr>
      <w:tr w:rsidR="0086297F" w:rsidRPr="00487EAE" w14:paraId="75BC79FE" w14:textId="77777777" w:rsidTr="002665C6">
        <w:trPr>
          <w:jc w:val="center"/>
        </w:trPr>
        <w:tc>
          <w:tcPr>
            <w:tcW w:w="1650" w:type="pct"/>
            <w:vAlign w:val="center"/>
          </w:tcPr>
          <w:p w14:paraId="432462C5" w14:textId="77777777" w:rsidR="0086297F" w:rsidRPr="00487EAE" w:rsidRDefault="0086297F" w:rsidP="002665C6">
            <w:pPr>
              <w:jc w:val="center"/>
              <w:rPr>
                <w:rFonts w:ascii="Titillium Web" w:hAnsi="Titillium Web"/>
                <w:smallCaps/>
                <w:szCs w:val="24"/>
              </w:rPr>
            </w:pPr>
            <w:r w:rsidRPr="00487EAE">
              <w:rPr>
                <w:rFonts w:ascii="Titillium Web" w:hAnsi="Titillium Web"/>
                <w:smallCaps/>
                <w:szCs w:val="24"/>
              </w:rPr>
              <w:t>Dimensioni della sepoltura</w:t>
            </w:r>
          </w:p>
        </w:tc>
        <w:tc>
          <w:tcPr>
            <w:tcW w:w="3350" w:type="pct"/>
            <w:vAlign w:val="center"/>
          </w:tcPr>
          <w:p w14:paraId="65EDFAD4" w14:textId="5859930D" w:rsidR="0086297F" w:rsidRPr="00487EAE" w:rsidRDefault="0086297F" w:rsidP="002665C6">
            <w:pPr>
              <w:jc w:val="center"/>
              <w:rPr>
                <w:rFonts w:ascii="Titillium Web" w:hAnsi="Titillium Web"/>
                <w:szCs w:val="24"/>
              </w:rPr>
            </w:pPr>
            <w:r w:rsidRPr="00487EAE">
              <w:rPr>
                <w:rFonts w:ascii="Titillium Web" w:hAnsi="Titillium Web"/>
                <w:szCs w:val="24"/>
              </w:rPr>
              <w:t>Dimensioni non registrate</w:t>
            </w:r>
          </w:p>
        </w:tc>
      </w:tr>
      <w:tr w:rsidR="0086297F" w:rsidRPr="00487EAE" w14:paraId="35E5C09E" w14:textId="77777777" w:rsidTr="002665C6">
        <w:trPr>
          <w:jc w:val="center"/>
        </w:trPr>
        <w:tc>
          <w:tcPr>
            <w:tcW w:w="1650" w:type="pct"/>
            <w:vAlign w:val="center"/>
          </w:tcPr>
          <w:p w14:paraId="5AA10374" w14:textId="77777777" w:rsidR="0086297F" w:rsidRPr="00487EAE" w:rsidRDefault="0086297F" w:rsidP="002665C6">
            <w:pPr>
              <w:jc w:val="center"/>
              <w:rPr>
                <w:rFonts w:ascii="Titillium Web" w:hAnsi="Titillium Web"/>
                <w:smallCaps/>
                <w:szCs w:val="24"/>
              </w:rPr>
            </w:pPr>
            <w:r w:rsidRPr="00487EAE">
              <w:rPr>
                <w:rFonts w:ascii="Titillium Web" w:hAnsi="Titillium Web"/>
                <w:smallCaps/>
                <w:szCs w:val="24"/>
              </w:rPr>
              <w:t>Orientamento dello scheletro</w:t>
            </w:r>
          </w:p>
        </w:tc>
        <w:tc>
          <w:tcPr>
            <w:tcW w:w="3350" w:type="pct"/>
            <w:vAlign w:val="center"/>
          </w:tcPr>
          <w:p w14:paraId="6E0E4E7B" w14:textId="7F6B3E0C" w:rsidR="0086297F" w:rsidRPr="00487EAE" w:rsidRDefault="0086297F" w:rsidP="002665C6">
            <w:pPr>
              <w:jc w:val="center"/>
              <w:rPr>
                <w:rFonts w:ascii="Titillium Web" w:hAnsi="Titillium Web"/>
                <w:szCs w:val="24"/>
              </w:rPr>
            </w:pPr>
            <w:r w:rsidRPr="00487EAE">
              <w:rPr>
                <w:rFonts w:ascii="Titillium Web" w:hAnsi="Titillium Web"/>
                <w:szCs w:val="24"/>
              </w:rPr>
              <w:t>/</w:t>
            </w:r>
          </w:p>
        </w:tc>
      </w:tr>
      <w:tr w:rsidR="0086297F" w:rsidRPr="00487EAE" w14:paraId="71236441" w14:textId="77777777" w:rsidTr="002665C6">
        <w:trPr>
          <w:jc w:val="center"/>
        </w:trPr>
        <w:tc>
          <w:tcPr>
            <w:tcW w:w="1650" w:type="pct"/>
            <w:vAlign w:val="center"/>
          </w:tcPr>
          <w:p w14:paraId="4A1B31A8" w14:textId="77777777" w:rsidR="0086297F" w:rsidRPr="00487EAE" w:rsidRDefault="0086297F" w:rsidP="002665C6">
            <w:pPr>
              <w:jc w:val="center"/>
              <w:rPr>
                <w:rFonts w:ascii="Titillium Web" w:hAnsi="Titillium Web"/>
                <w:smallCaps/>
                <w:szCs w:val="24"/>
              </w:rPr>
            </w:pPr>
            <w:r w:rsidRPr="00487EAE">
              <w:rPr>
                <w:rFonts w:ascii="Titillium Web" w:hAnsi="Titillium Web"/>
                <w:smallCaps/>
                <w:szCs w:val="24"/>
              </w:rPr>
              <w:t>Segnacolo</w:t>
            </w:r>
          </w:p>
        </w:tc>
        <w:tc>
          <w:tcPr>
            <w:tcW w:w="3350" w:type="pct"/>
            <w:vAlign w:val="center"/>
          </w:tcPr>
          <w:p w14:paraId="104CE615" w14:textId="50385AE1" w:rsidR="0086297F" w:rsidRPr="00487EAE" w:rsidRDefault="0086297F" w:rsidP="002665C6">
            <w:pPr>
              <w:jc w:val="center"/>
              <w:rPr>
                <w:rFonts w:ascii="Titillium Web" w:hAnsi="Titillium Web"/>
                <w:szCs w:val="24"/>
              </w:rPr>
            </w:pPr>
            <w:r w:rsidRPr="00487EAE">
              <w:rPr>
                <w:rFonts w:ascii="Titillium Web" w:hAnsi="Titillium Web"/>
                <w:szCs w:val="24"/>
              </w:rPr>
              <w:t>/</w:t>
            </w:r>
          </w:p>
        </w:tc>
      </w:tr>
      <w:tr w:rsidR="0086297F" w:rsidRPr="00487EAE" w14:paraId="6D6CBA71" w14:textId="77777777" w:rsidTr="002665C6">
        <w:trPr>
          <w:jc w:val="center"/>
        </w:trPr>
        <w:tc>
          <w:tcPr>
            <w:tcW w:w="1650" w:type="pct"/>
            <w:vAlign w:val="center"/>
          </w:tcPr>
          <w:p w14:paraId="75CA0D64" w14:textId="77777777" w:rsidR="0086297F" w:rsidRPr="00487EAE" w:rsidRDefault="0086297F" w:rsidP="002665C6">
            <w:pPr>
              <w:jc w:val="center"/>
              <w:rPr>
                <w:rFonts w:ascii="Titillium Web" w:hAnsi="Titillium Web"/>
                <w:smallCaps/>
                <w:szCs w:val="24"/>
              </w:rPr>
            </w:pPr>
            <w:r w:rsidRPr="00487EAE">
              <w:rPr>
                <w:rFonts w:ascii="Titillium Web" w:hAnsi="Titillium Web"/>
                <w:smallCaps/>
                <w:szCs w:val="24"/>
              </w:rPr>
              <w:t>Giornale di scavo</w:t>
            </w:r>
          </w:p>
        </w:tc>
        <w:tc>
          <w:tcPr>
            <w:tcW w:w="3350" w:type="pct"/>
            <w:vAlign w:val="center"/>
          </w:tcPr>
          <w:p w14:paraId="6E7D8FC9" w14:textId="77777777" w:rsidR="00B910F0" w:rsidRPr="00487EAE" w:rsidRDefault="00B55EDC">
            <w:pPr>
              <w:rPr>
                <w:rFonts w:ascii="Titillium Web" w:hAnsi="Titillium Web"/>
                <w:i/>
                <w:iCs/>
                <w:szCs w:val="24"/>
              </w:rPr>
            </w:pPr>
            <w:r w:rsidRPr="00487EAE">
              <w:rPr>
                <w:rFonts w:ascii="Titillium Web" w:hAnsi="Titillium Web"/>
                <w:i/>
                <w:iCs/>
                <w:szCs w:val="24"/>
              </w:rPr>
              <w:t>Tomba 1191 a cremazione</w:t>
            </w:r>
          </w:p>
          <w:p w14:paraId="62020C13" w14:textId="77777777" w:rsidR="00B910F0" w:rsidRPr="00487EAE" w:rsidRDefault="00B55EDC">
            <w:pPr>
              <w:rPr>
                <w:rFonts w:ascii="Titillium Web" w:hAnsi="Titillium Web"/>
                <w:i/>
                <w:iCs/>
                <w:szCs w:val="24"/>
              </w:rPr>
            </w:pPr>
            <w:r w:rsidRPr="00487EAE">
              <w:rPr>
                <w:rFonts w:ascii="Titillium Web" w:hAnsi="Titillium Web"/>
                <w:i/>
                <w:iCs/>
                <w:szCs w:val="24"/>
              </w:rPr>
              <w:t>A m 71,4 a sud del Donna Bianca, a m 50 a lev. della poderale e a m 0,95 di profondità si rinviene una tomba a cremazione.</w:t>
            </w:r>
          </w:p>
          <w:p w14:paraId="03963110" w14:textId="77777777" w:rsidR="00B910F0" w:rsidRPr="00487EAE" w:rsidRDefault="00B55EDC">
            <w:pPr>
              <w:rPr>
                <w:rFonts w:ascii="Titillium Web" w:hAnsi="Titillium Web"/>
                <w:i/>
                <w:iCs/>
                <w:szCs w:val="24"/>
              </w:rPr>
            </w:pPr>
            <w:r w:rsidRPr="00487EAE">
              <w:rPr>
                <w:rFonts w:ascii="Titillium Web" w:hAnsi="Titillium Web"/>
                <w:i/>
                <w:iCs/>
                <w:szCs w:val="24"/>
              </w:rPr>
              <w:t>Le ossa combuste sono in un mucchietto circolare (a m 71,40 dal D.B. e a m 50 dalla poderale).</w:t>
            </w:r>
          </w:p>
          <w:p w14:paraId="33E4E577" w14:textId="77777777" w:rsidR="00B910F0" w:rsidRPr="00487EAE" w:rsidRDefault="00B55EDC">
            <w:pPr>
              <w:rPr>
                <w:rFonts w:ascii="Titillium Web" w:hAnsi="Titillium Web"/>
                <w:i/>
                <w:iCs/>
                <w:szCs w:val="24"/>
              </w:rPr>
            </w:pPr>
            <w:r w:rsidRPr="00487EAE">
              <w:rPr>
                <w:rFonts w:ascii="Titillium Web" w:hAnsi="Titillium Web"/>
                <w:i/>
                <w:iCs/>
                <w:szCs w:val="24"/>
              </w:rPr>
              <w:t>A sud ovest delle ossa combuste si rinvengono:</w:t>
            </w:r>
          </w:p>
          <w:p w14:paraId="6F43D7FA" w14:textId="77777777" w:rsidR="00B910F0" w:rsidRPr="00487EAE" w:rsidRDefault="00B55EDC">
            <w:pPr>
              <w:rPr>
                <w:rFonts w:ascii="Titillium Web" w:hAnsi="Titillium Web"/>
                <w:i/>
                <w:iCs/>
                <w:szCs w:val="24"/>
              </w:rPr>
            </w:pPr>
            <w:r w:rsidRPr="00487EAE">
              <w:rPr>
                <w:rFonts w:ascii="Titillium Web" w:hAnsi="Titillium Web"/>
                <w:i/>
                <w:iCs/>
                <w:szCs w:val="24"/>
              </w:rPr>
              <w:t>1 piccola pisside cilindrica, di argilla cenerognola, grezza e completamente marcita. Lì presso si raccolse il coperchio della pisside.</w:t>
            </w:r>
          </w:p>
          <w:p w14:paraId="18C1722E" w14:textId="77777777" w:rsidR="00B910F0" w:rsidRPr="00487EAE" w:rsidRDefault="00B55EDC">
            <w:pPr>
              <w:rPr>
                <w:rFonts w:ascii="Titillium Web" w:hAnsi="Titillium Web"/>
                <w:i/>
                <w:iCs/>
                <w:szCs w:val="24"/>
              </w:rPr>
            </w:pPr>
            <w:r w:rsidRPr="00487EAE">
              <w:rPr>
                <w:rFonts w:ascii="Titillium Web" w:hAnsi="Titillium Web"/>
                <w:i/>
                <w:iCs/>
                <w:szCs w:val="24"/>
              </w:rPr>
              <w:t>Un poco più a ovest si rinviene:</w:t>
            </w:r>
          </w:p>
          <w:p w14:paraId="504618F7" w14:textId="77777777" w:rsidR="00B910F0" w:rsidRPr="00487EAE" w:rsidRDefault="00B55EDC">
            <w:pPr>
              <w:rPr>
                <w:rFonts w:ascii="Titillium Web" w:hAnsi="Titillium Web"/>
                <w:i/>
                <w:iCs/>
                <w:szCs w:val="24"/>
              </w:rPr>
            </w:pPr>
            <w:r w:rsidRPr="00487EAE">
              <w:rPr>
                <w:rFonts w:ascii="Titillium Web" w:hAnsi="Titillium Web"/>
                <w:i/>
                <w:iCs/>
                <w:szCs w:val="24"/>
              </w:rPr>
              <w:t>1 dei soliti cotili a piede stretto e allungato, di forma tarda a vernice brunastra, diluita e scadente. è intero, ed era coperto da</w:t>
            </w:r>
          </w:p>
          <w:p w14:paraId="2C3895CC" w14:textId="77777777" w:rsidR="00B910F0" w:rsidRPr="00487EAE" w:rsidRDefault="00B55EDC">
            <w:pPr>
              <w:rPr>
                <w:rFonts w:ascii="Titillium Web" w:hAnsi="Titillium Web"/>
                <w:i/>
                <w:iCs/>
                <w:szCs w:val="24"/>
              </w:rPr>
            </w:pPr>
            <w:r w:rsidRPr="00487EAE">
              <w:rPr>
                <w:rFonts w:ascii="Titillium Web" w:hAnsi="Titillium Web"/>
                <w:i/>
                <w:iCs/>
                <w:szCs w:val="24"/>
              </w:rPr>
              <w:t>1 piatto con cavetto nel centro, a vernice brunastra come il precedente vaso: è intero</w:t>
            </w:r>
          </w:p>
          <w:p w14:paraId="11D77353" w14:textId="77777777" w:rsidR="00B910F0" w:rsidRPr="00487EAE" w:rsidRDefault="00B55EDC">
            <w:pPr>
              <w:rPr>
                <w:rFonts w:ascii="Titillium Web" w:hAnsi="Titillium Web"/>
                <w:i/>
                <w:iCs/>
                <w:szCs w:val="24"/>
              </w:rPr>
            </w:pPr>
            <w:r w:rsidRPr="00487EAE">
              <w:rPr>
                <w:rFonts w:ascii="Titillium Web" w:hAnsi="Titillium Web"/>
                <w:i/>
                <w:iCs/>
                <w:szCs w:val="24"/>
              </w:rPr>
              <w:t>1 lucernina (ascos) a ciambella, con ansa semicircolare, verticale, a vernice nera assai scadente: è crinata</w:t>
            </w:r>
          </w:p>
          <w:p w14:paraId="1170042F" w14:textId="77777777" w:rsidR="00B910F0" w:rsidRPr="00487EAE" w:rsidRDefault="00B55EDC">
            <w:pPr>
              <w:rPr>
                <w:rFonts w:ascii="Titillium Web" w:hAnsi="Titillium Web"/>
                <w:i/>
                <w:iCs/>
                <w:szCs w:val="24"/>
              </w:rPr>
            </w:pPr>
            <w:r w:rsidRPr="00487EAE">
              <w:rPr>
                <w:rFonts w:ascii="Titillium Web" w:hAnsi="Titillium Web"/>
                <w:i/>
                <w:iCs/>
                <w:szCs w:val="24"/>
              </w:rPr>
              <w:t>Assai più a sud delle ossa era</w:t>
            </w:r>
          </w:p>
          <w:p w14:paraId="115D2810" w14:textId="77777777" w:rsidR="00B910F0" w:rsidRPr="00487EAE" w:rsidRDefault="00B55EDC">
            <w:pPr>
              <w:rPr>
                <w:rFonts w:ascii="Titillium Web" w:hAnsi="Titillium Web"/>
                <w:i/>
                <w:iCs/>
                <w:szCs w:val="24"/>
              </w:rPr>
            </w:pPr>
            <w:r w:rsidRPr="00487EAE">
              <w:rPr>
                <w:rFonts w:ascii="Titillium Web" w:hAnsi="Titillium Web"/>
                <w:i/>
                <w:iCs/>
                <w:szCs w:val="24"/>
              </w:rPr>
              <w:t>1 oinochoe a forma di fiasco, con bocca trilobata e ansa verticale. è di argilla rossa, ben cotta; è intero. Conserva disegni, inabili, di testone e spirali e palmette.</w:t>
            </w:r>
          </w:p>
          <w:p w14:paraId="3DD6AF00" w14:textId="77777777" w:rsidR="00B910F0" w:rsidRPr="00487EAE" w:rsidRDefault="00B55EDC">
            <w:pPr>
              <w:rPr>
                <w:rFonts w:ascii="Titillium Web" w:hAnsi="Titillium Web"/>
                <w:i/>
                <w:iCs/>
                <w:szCs w:val="24"/>
              </w:rPr>
            </w:pPr>
            <w:r w:rsidRPr="00487EAE">
              <w:rPr>
                <w:rFonts w:ascii="Titillium Web" w:hAnsi="Titillium Web"/>
                <w:i/>
                <w:iCs/>
                <w:szCs w:val="24"/>
              </w:rPr>
              <w:t>Nel cumulo delle ossa combuste nulla rimane, a sud di qualche centimetro dalle ossa combuste era:</w:t>
            </w:r>
          </w:p>
          <w:p w14:paraId="70046DE3" w14:textId="77777777" w:rsidR="00B910F0" w:rsidRPr="00487EAE" w:rsidRDefault="00B55EDC">
            <w:pPr>
              <w:rPr>
                <w:rFonts w:ascii="Titillium Web" w:hAnsi="Titillium Web"/>
                <w:i/>
                <w:iCs/>
                <w:szCs w:val="24"/>
              </w:rPr>
            </w:pPr>
            <w:r w:rsidRPr="00487EAE">
              <w:rPr>
                <w:rFonts w:ascii="Titillium Web" w:hAnsi="Titillium Web"/>
                <w:i/>
                <w:iCs/>
                <w:szCs w:val="24"/>
              </w:rPr>
              <w:t>1 ciprea forata</w:t>
            </w:r>
          </w:p>
          <w:p w14:paraId="74F883F7" w14:textId="77777777" w:rsidR="00B910F0" w:rsidRPr="00487EAE" w:rsidRDefault="00B55EDC">
            <w:pPr>
              <w:rPr>
                <w:rFonts w:ascii="Titillium Web" w:hAnsi="Titillium Web"/>
                <w:i/>
                <w:iCs/>
                <w:szCs w:val="24"/>
              </w:rPr>
            </w:pPr>
            <w:r w:rsidRPr="00487EAE">
              <w:rPr>
                <w:rFonts w:ascii="Titillium Web" w:hAnsi="Titillium Web"/>
                <w:i/>
                <w:iCs/>
                <w:szCs w:val="24"/>
              </w:rPr>
              <w:t>Osservazioni</w:t>
            </w:r>
          </w:p>
          <w:p w14:paraId="7CEB8726" w14:textId="77777777" w:rsidR="00B910F0" w:rsidRPr="00487EAE" w:rsidRDefault="00B55EDC">
            <w:pPr>
              <w:rPr>
                <w:rFonts w:ascii="Titillium Web" w:hAnsi="Titillium Web"/>
                <w:i/>
                <w:iCs/>
                <w:szCs w:val="24"/>
              </w:rPr>
            </w:pPr>
            <w:r w:rsidRPr="00487EAE">
              <w:rPr>
                <w:rFonts w:ascii="Titillium Web" w:hAnsi="Titillium Web"/>
                <w:i/>
                <w:iCs/>
                <w:szCs w:val="24"/>
              </w:rPr>
              <w:lastRenderedPageBreak/>
              <w:t>In questa tomba si presenta ancora la domanda: aveva la cassa di legno?</w:t>
            </w:r>
          </w:p>
          <w:p w14:paraId="72ACB6B6" w14:textId="77777777" w:rsidR="00B910F0" w:rsidRPr="00487EAE" w:rsidRDefault="00B55EDC">
            <w:pPr>
              <w:rPr>
                <w:rFonts w:ascii="Titillium Web" w:hAnsi="Titillium Web"/>
                <w:i/>
                <w:iCs/>
                <w:szCs w:val="24"/>
              </w:rPr>
            </w:pPr>
            <w:r w:rsidRPr="00487EAE">
              <w:rPr>
                <w:rFonts w:ascii="Titillium Web" w:hAnsi="Titillium Web"/>
                <w:i/>
                <w:iCs/>
                <w:szCs w:val="24"/>
              </w:rPr>
              <w:t>Durante lo scavo nessun segno, ne avanzo di tavole o di fibra di legno, da potere argomentare che il sepolcro avesse la cassa di legno.</w:t>
            </w:r>
          </w:p>
          <w:p w14:paraId="66EA5256" w14:textId="77777777" w:rsidR="00B910F0" w:rsidRPr="00487EAE" w:rsidRDefault="00B55EDC">
            <w:pPr>
              <w:rPr>
                <w:rFonts w:ascii="Titillium Web" w:hAnsi="Titillium Web"/>
                <w:i/>
                <w:iCs/>
                <w:szCs w:val="24"/>
              </w:rPr>
            </w:pPr>
            <w:r w:rsidRPr="00487EAE">
              <w:rPr>
                <w:rFonts w:ascii="Titillium Web" w:hAnsi="Titillium Web"/>
                <w:i/>
                <w:iCs/>
                <w:szCs w:val="24"/>
              </w:rPr>
              <w:t>Però da certi elementi che o qui esporrò, sono del parere che forse tutte le tombe, o quasi tutte, avessero la cassa di legno e che per ragioni che a noi sfuggono e che io non so spiegare, il legno in molti casi si deve essere marcito e totalmente consumato da non trovane più traccia alcuna.</w:t>
            </w:r>
          </w:p>
          <w:p w14:paraId="46658E93" w14:textId="77777777" w:rsidR="00B910F0" w:rsidRPr="00487EAE" w:rsidRDefault="00B55EDC">
            <w:pPr>
              <w:rPr>
                <w:rFonts w:ascii="Titillium Web" w:hAnsi="Titillium Web"/>
                <w:i/>
                <w:iCs/>
                <w:szCs w:val="24"/>
              </w:rPr>
            </w:pPr>
            <w:r w:rsidRPr="00487EAE">
              <w:rPr>
                <w:rFonts w:ascii="Titillium Web" w:hAnsi="Titillium Web"/>
                <w:i/>
                <w:iCs/>
                <w:szCs w:val="24"/>
              </w:rPr>
              <w:t xml:space="preserve">Non si è rinvenuto nessun travetto, né alcun pezzo di legno da assicurarci che la tomba aveva la cassa, </w:t>
            </w:r>
            <w:proofErr w:type="gramStart"/>
            <w:r w:rsidRPr="00487EAE">
              <w:rPr>
                <w:rFonts w:ascii="Titillium Web" w:hAnsi="Titillium Web"/>
                <w:i/>
                <w:iCs/>
                <w:szCs w:val="24"/>
              </w:rPr>
              <w:t>ma però</w:t>
            </w:r>
            <w:proofErr w:type="gramEnd"/>
            <w:r w:rsidRPr="00487EAE">
              <w:rPr>
                <w:rFonts w:ascii="Titillium Web" w:hAnsi="Titillium Web"/>
                <w:i/>
                <w:iCs/>
                <w:szCs w:val="24"/>
              </w:rPr>
              <w:t xml:space="preserve"> appiccicati, aderenti ai vasi, e specie ai fittili che guardavano verso il cielo (a 1 metro sepolto sotterra parlare del cielo sembrerebbe un’ironia, ma non sò come meglio spiegarmi) si trova un deposito abbondante di fibre legnose marcite.</w:t>
            </w:r>
          </w:p>
          <w:p w14:paraId="411B755E" w14:textId="77777777" w:rsidR="00B910F0" w:rsidRPr="00487EAE" w:rsidRDefault="00B55EDC">
            <w:pPr>
              <w:rPr>
                <w:rFonts w:ascii="Titillium Web" w:hAnsi="Titillium Web"/>
                <w:i/>
                <w:iCs/>
                <w:szCs w:val="24"/>
              </w:rPr>
            </w:pPr>
            <w:r w:rsidRPr="00487EAE">
              <w:rPr>
                <w:rFonts w:ascii="Titillium Web" w:hAnsi="Titillium Web"/>
                <w:i/>
                <w:iCs/>
                <w:szCs w:val="24"/>
              </w:rPr>
              <w:t>Si esamini il piatto con cavetto, che copriva il cotile, si esamini il coperchio della piccola pisside (la parte che copre il vaso, cioè la faccia interna del coperchio, poiché detto coperchio era ribaltato assieme alla pisside e la faccia anteriore rovesciata, aveva ricevuto o ci si era adagiato sopra il legno del coperchio della cassa),  se non si ammette che quei residui che vi sono aderenti provengano dal coperchio della cassa, mi si dica da dove possono essere venuti e come hanno potuto aderire ai fitt</w:t>
            </w:r>
            <w:r w:rsidRPr="00487EAE">
              <w:rPr>
                <w:rFonts w:ascii="Titillium Web" w:hAnsi="Titillium Web"/>
                <w:i/>
                <w:iCs/>
                <w:szCs w:val="24"/>
              </w:rPr>
              <w:t>ili.</w:t>
            </w:r>
          </w:p>
          <w:p w14:paraId="55727A6D" w14:textId="77777777" w:rsidR="00B910F0" w:rsidRPr="00487EAE" w:rsidRDefault="00B55EDC">
            <w:pPr>
              <w:rPr>
                <w:rFonts w:ascii="Titillium Web" w:hAnsi="Titillium Web"/>
                <w:i/>
                <w:iCs/>
                <w:szCs w:val="24"/>
              </w:rPr>
            </w:pPr>
            <w:r w:rsidRPr="00487EAE">
              <w:rPr>
                <w:rFonts w:ascii="Titillium Web" w:hAnsi="Titillium Web"/>
                <w:i/>
                <w:iCs/>
                <w:szCs w:val="24"/>
              </w:rPr>
              <w:t>Semplici alghe marcite, non possono essere poiché queste sono totalmente impalpabili da vederle soltanto attraverso l’impronta che lasciano nella sabbia bagnata e compatta. Vecchie radici, non saprei di quale pianta, non possono essere, poiché spesso succede a noi di rinvenire un scodella con dette radici che hanno una disposizione affatto diversa dalle fibre legnose depositate sui fittili di cui parlo ora; tomba 1191.</w:t>
            </w:r>
          </w:p>
          <w:p w14:paraId="23CF9B4A" w14:textId="77777777" w:rsidR="00B910F0" w:rsidRPr="00487EAE" w:rsidRDefault="00B55EDC">
            <w:pPr>
              <w:rPr>
                <w:rFonts w:ascii="Titillium Web" w:hAnsi="Titillium Web"/>
                <w:i/>
                <w:iCs/>
                <w:szCs w:val="24"/>
              </w:rPr>
            </w:pPr>
            <w:r w:rsidRPr="00487EAE">
              <w:rPr>
                <w:rFonts w:ascii="Titillium Web" w:hAnsi="Titillium Web"/>
                <w:i/>
                <w:iCs/>
                <w:szCs w:val="24"/>
              </w:rPr>
              <w:t>Simili radici si sviluppano in una scodella e in un vaso a giro continuo come una spirale e si possono contare i moltissimi giri, ad occhio nudo.</w:t>
            </w:r>
          </w:p>
          <w:p w14:paraId="6E852ABD" w14:textId="77777777" w:rsidR="00B910F0" w:rsidRPr="00487EAE" w:rsidRDefault="00B55EDC">
            <w:pPr>
              <w:rPr>
                <w:rFonts w:ascii="Titillium Web" w:hAnsi="Titillium Web"/>
                <w:i/>
                <w:iCs/>
                <w:szCs w:val="24"/>
              </w:rPr>
            </w:pPr>
            <w:r w:rsidRPr="00487EAE">
              <w:rPr>
                <w:rFonts w:ascii="Titillium Web" w:hAnsi="Titillium Web"/>
                <w:i/>
                <w:iCs/>
                <w:szCs w:val="24"/>
              </w:rPr>
              <w:t xml:space="preserve">Invece le tracce delle fibre legnose del coperchio della cassa non girano intorno all’orlo di una tazza o nel cavetto profondo </w:t>
            </w:r>
            <w:r w:rsidRPr="00487EAE">
              <w:rPr>
                <w:rFonts w:ascii="Titillium Web" w:hAnsi="Titillium Web"/>
                <w:i/>
                <w:iCs/>
                <w:szCs w:val="24"/>
              </w:rPr>
              <w:lastRenderedPageBreak/>
              <w:t>di un piatto, esse si rinvengono sempre rigidamente, quando sono conservate, una linea retta.</w:t>
            </w:r>
          </w:p>
          <w:p w14:paraId="05C59218" w14:textId="77777777" w:rsidR="00B910F0" w:rsidRPr="00487EAE" w:rsidRDefault="00B55EDC">
            <w:pPr>
              <w:rPr>
                <w:rFonts w:ascii="Titillium Web" w:hAnsi="Titillium Web"/>
                <w:i/>
                <w:iCs/>
                <w:szCs w:val="24"/>
              </w:rPr>
            </w:pPr>
            <w:r w:rsidRPr="00487EAE">
              <w:rPr>
                <w:rFonts w:ascii="Titillium Web" w:hAnsi="Titillium Web"/>
                <w:i/>
                <w:iCs/>
                <w:szCs w:val="24"/>
              </w:rPr>
              <w:t>Se le fibre rinvenute aderenti il piatto con cavetto, fossero delle alghe marcite, perché non se ne stavano anche dentro al cotile ove in altri cento casi simili le alghe si sono trovate entro ai vasi? entro al cotile, quando sullo scavo ci si levò il coperchio che vi aderiva, si rinvenne soltanto sabbia fine e limo. Perché nel cavo della faccia interna del coperchio di pisside, che era rivolto in alto, vi si rinvenne uno strato legnoso? perché il legno del coperchio della cassa calando dall’alto si è depos</w:t>
            </w:r>
            <w:r w:rsidRPr="00487EAE">
              <w:rPr>
                <w:rFonts w:ascii="Titillium Web" w:hAnsi="Titillium Web"/>
                <w:i/>
                <w:iCs/>
                <w:szCs w:val="24"/>
              </w:rPr>
              <w:t>itato sul coperchio di pisside come sul coperchio del cotile.</w:t>
            </w:r>
          </w:p>
          <w:p w14:paraId="078258E5" w14:textId="77777777" w:rsidR="00B910F0" w:rsidRPr="00487EAE" w:rsidRDefault="00B55EDC">
            <w:pPr>
              <w:rPr>
                <w:rFonts w:ascii="Titillium Web" w:hAnsi="Titillium Web"/>
                <w:i/>
                <w:iCs/>
                <w:szCs w:val="24"/>
              </w:rPr>
            </w:pPr>
            <w:r w:rsidRPr="00487EAE">
              <w:rPr>
                <w:rFonts w:ascii="Titillium Web" w:hAnsi="Titillium Web"/>
                <w:i/>
                <w:iCs/>
                <w:szCs w:val="24"/>
              </w:rPr>
              <w:t>Non poteva già entrare nel cotile che era chiuso superiormente dal piatto, né andare sotto al coperchio della pisside nè entrare per la bocca trilobata entro l’oinochoe, ma questo li poteva ben fare l’alga o la radice, di nascondersi e avvilupparsi sotto il piede di un vaso o sotto qualsiasi altro oggetto.</w:t>
            </w:r>
          </w:p>
          <w:p w14:paraId="2E99092E" w14:textId="77777777" w:rsidR="00B910F0" w:rsidRPr="00487EAE" w:rsidRDefault="00B55EDC">
            <w:pPr>
              <w:rPr>
                <w:rFonts w:ascii="Titillium Web" w:hAnsi="Titillium Web"/>
                <w:i/>
                <w:iCs/>
                <w:szCs w:val="24"/>
              </w:rPr>
            </w:pPr>
            <w:r w:rsidRPr="00487EAE">
              <w:rPr>
                <w:rFonts w:ascii="Titillium Web" w:hAnsi="Titillium Web"/>
                <w:i/>
                <w:iCs/>
                <w:szCs w:val="24"/>
              </w:rPr>
              <w:t xml:space="preserve">Ma in questa tomba non abbiamo nessun oggetto o fittile, entro o sotto al quale si siano sviluppate queste radici; mentre per lo contrario si rilevano solamente sopra le pareti dei vasi, volte in alto, le fibre legnose. </w:t>
            </w:r>
            <w:proofErr w:type="gramStart"/>
            <w:r w:rsidRPr="00487EAE">
              <w:rPr>
                <w:rFonts w:ascii="Titillium Web" w:hAnsi="Titillium Web"/>
                <w:i/>
                <w:iCs/>
                <w:szCs w:val="24"/>
              </w:rPr>
              <w:t>Dunque</w:t>
            </w:r>
            <w:proofErr w:type="gramEnd"/>
            <w:r w:rsidRPr="00487EAE">
              <w:rPr>
                <w:rFonts w:ascii="Titillium Web" w:hAnsi="Titillium Web"/>
                <w:i/>
                <w:iCs/>
                <w:szCs w:val="24"/>
              </w:rPr>
              <w:t xml:space="preserve"> non è più possibile dubitare che anche questa tomba era chiusa in cassa di legno e anche qui si nota lo stesso spostamento e ribaltamento o inclinazione dei vaso da un lato, questi si sono inclinati verso nord.</w:t>
            </w:r>
          </w:p>
          <w:p w14:paraId="40020832" w14:textId="77777777" w:rsidR="00B910F0" w:rsidRPr="00487EAE" w:rsidRDefault="00B55EDC">
            <w:pPr>
              <w:rPr>
                <w:rFonts w:ascii="Titillium Web" w:hAnsi="Titillium Web"/>
                <w:i/>
                <w:iCs/>
                <w:szCs w:val="24"/>
              </w:rPr>
            </w:pPr>
            <w:r w:rsidRPr="00487EAE">
              <w:rPr>
                <w:rFonts w:ascii="Titillium Web" w:hAnsi="Titillium Web"/>
                <w:i/>
                <w:iCs/>
                <w:szCs w:val="24"/>
              </w:rPr>
              <w:t>Per quale ragione? è troppo difficile rispondere</w:t>
            </w:r>
          </w:p>
        </w:tc>
      </w:tr>
      <w:tr w:rsidR="0086297F" w:rsidRPr="00487EAE" w14:paraId="1429C2F3" w14:textId="77777777" w:rsidTr="002665C6">
        <w:trPr>
          <w:jc w:val="center"/>
        </w:trPr>
        <w:tc>
          <w:tcPr>
            <w:tcW w:w="1650" w:type="pct"/>
            <w:vAlign w:val="center"/>
          </w:tcPr>
          <w:p w14:paraId="7F398080" w14:textId="77777777" w:rsidR="0086297F" w:rsidRPr="00487EAE" w:rsidRDefault="0086297F" w:rsidP="002665C6">
            <w:pPr>
              <w:jc w:val="center"/>
              <w:rPr>
                <w:rFonts w:ascii="Titillium Web" w:hAnsi="Titillium Web"/>
                <w:smallCaps/>
                <w:szCs w:val="24"/>
              </w:rPr>
            </w:pPr>
            <w:r w:rsidRPr="00487EAE">
              <w:rPr>
                <w:rFonts w:ascii="Titillium Web" w:hAnsi="Titillium Web"/>
                <w:smallCaps/>
                <w:szCs w:val="24"/>
              </w:rPr>
              <w:lastRenderedPageBreak/>
              <w:t>Posizione del corredo</w:t>
            </w:r>
          </w:p>
        </w:tc>
        <w:tc>
          <w:tcPr>
            <w:tcW w:w="3350" w:type="pct"/>
            <w:vAlign w:val="center"/>
          </w:tcPr>
          <w:p w14:paraId="5C03ADA7" w14:textId="7BF3AD8D" w:rsidR="0086297F" w:rsidRPr="00487EAE" w:rsidRDefault="0086297F" w:rsidP="002665C6">
            <w:pPr>
              <w:jc w:val="center"/>
              <w:rPr>
                <w:rFonts w:ascii="Titillium Web" w:hAnsi="Titillium Web"/>
                <w:szCs w:val="24"/>
              </w:rPr>
            </w:pPr>
            <w:r w:rsidRPr="00487EAE">
              <w:rPr>
                <w:rFonts w:ascii="Titillium Web" w:hAnsi="Titillium Web"/>
                <w:szCs w:val="24"/>
              </w:rPr>
              <w:t>Gruppo di oggetti attorno alle ceneri</w:t>
            </w:r>
          </w:p>
        </w:tc>
      </w:tr>
      <w:tr w:rsidR="0086297F" w:rsidRPr="00487EAE" w14:paraId="71A0E4AF" w14:textId="77777777" w:rsidTr="002665C6">
        <w:trPr>
          <w:jc w:val="center"/>
        </w:trPr>
        <w:tc>
          <w:tcPr>
            <w:tcW w:w="1650" w:type="pct"/>
            <w:vAlign w:val="center"/>
          </w:tcPr>
          <w:p w14:paraId="2128B19B" w14:textId="77777777" w:rsidR="0086297F" w:rsidRPr="00487EAE" w:rsidRDefault="0086297F" w:rsidP="002665C6">
            <w:pPr>
              <w:jc w:val="center"/>
              <w:rPr>
                <w:rFonts w:ascii="Titillium Web" w:hAnsi="Titillium Web"/>
                <w:smallCaps/>
                <w:szCs w:val="24"/>
              </w:rPr>
            </w:pPr>
            <w:r w:rsidRPr="00487EAE">
              <w:rPr>
                <w:rFonts w:ascii="Titillium Web" w:hAnsi="Titillium Web"/>
                <w:smallCaps/>
                <w:szCs w:val="24"/>
              </w:rPr>
              <w:t>Genere (legato all’analisi del corredo)</w:t>
            </w:r>
          </w:p>
        </w:tc>
        <w:tc>
          <w:tcPr>
            <w:tcW w:w="3350" w:type="pct"/>
            <w:vAlign w:val="center"/>
          </w:tcPr>
          <w:p w14:paraId="31324C2B" w14:textId="4E55E405" w:rsidR="0086297F" w:rsidRPr="00487EAE" w:rsidRDefault="0086297F" w:rsidP="002665C6">
            <w:pPr>
              <w:jc w:val="center"/>
              <w:rPr>
                <w:rFonts w:ascii="Titillium Web" w:hAnsi="Titillium Web"/>
                <w:szCs w:val="24"/>
              </w:rPr>
            </w:pPr>
            <w:r w:rsidRPr="00487EAE">
              <w:rPr>
                <w:rFonts w:ascii="Titillium Web" w:hAnsi="Titillium Web"/>
                <w:szCs w:val="24"/>
              </w:rPr>
              <w:t>Femminile</w:t>
            </w:r>
          </w:p>
        </w:tc>
      </w:tr>
      <w:tr w:rsidR="0086297F" w:rsidRPr="00487EAE" w14:paraId="17633947" w14:textId="77777777" w:rsidTr="002665C6">
        <w:trPr>
          <w:jc w:val="center"/>
        </w:trPr>
        <w:tc>
          <w:tcPr>
            <w:tcW w:w="1650" w:type="pct"/>
            <w:vAlign w:val="center"/>
          </w:tcPr>
          <w:p w14:paraId="44721053" w14:textId="77777777" w:rsidR="0086297F" w:rsidRPr="00487EAE" w:rsidRDefault="0086297F" w:rsidP="002665C6">
            <w:pPr>
              <w:jc w:val="center"/>
              <w:rPr>
                <w:rFonts w:ascii="Titillium Web" w:hAnsi="Titillium Web"/>
                <w:smallCaps/>
                <w:szCs w:val="24"/>
              </w:rPr>
            </w:pPr>
            <w:r w:rsidRPr="00487EAE">
              <w:rPr>
                <w:rFonts w:ascii="Titillium Web" w:hAnsi="Titillium Web"/>
                <w:smallCaps/>
                <w:szCs w:val="24"/>
              </w:rPr>
              <w:t>Sesso (legato alle analisi antropologiche)</w:t>
            </w:r>
          </w:p>
        </w:tc>
        <w:tc>
          <w:tcPr>
            <w:tcW w:w="3350" w:type="pct"/>
            <w:vAlign w:val="center"/>
          </w:tcPr>
          <w:p w14:paraId="66E918A4" w14:textId="50197FF0" w:rsidR="0086297F" w:rsidRPr="00487EAE" w:rsidRDefault="0086297F" w:rsidP="002665C6">
            <w:pPr>
              <w:jc w:val="center"/>
              <w:rPr>
                <w:rFonts w:ascii="Titillium Web" w:hAnsi="Titillium Web"/>
                <w:szCs w:val="24"/>
              </w:rPr>
            </w:pPr>
            <w:r w:rsidRPr="00487EAE">
              <w:rPr>
                <w:rFonts w:ascii="Titillium Web" w:hAnsi="Titillium Web"/>
                <w:szCs w:val="24"/>
              </w:rPr>
              <w:t>Non determinabile</w:t>
            </w:r>
          </w:p>
        </w:tc>
      </w:tr>
      <w:tr w:rsidR="0086297F" w:rsidRPr="00487EAE" w14:paraId="0588946D" w14:textId="77777777" w:rsidTr="002665C6">
        <w:trPr>
          <w:jc w:val="center"/>
        </w:trPr>
        <w:tc>
          <w:tcPr>
            <w:tcW w:w="1650" w:type="pct"/>
            <w:vAlign w:val="center"/>
          </w:tcPr>
          <w:p w14:paraId="54990945" w14:textId="77777777" w:rsidR="0086297F" w:rsidRPr="00487EAE" w:rsidRDefault="0086297F" w:rsidP="002665C6">
            <w:pPr>
              <w:jc w:val="center"/>
              <w:rPr>
                <w:rFonts w:ascii="Titillium Web" w:hAnsi="Titillium Web"/>
                <w:smallCaps/>
                <w:szCs w:val="24"/>
              </w:rPr>
            </w:pPr>
            <w:r w:rsidRPr="00487EAE">
              <w:rPr>
                <w:rFonts w:ascii="Titillium Web" w:hAnsi="Titillium Web"/>
                <w:smallCaps/>
                <w:szCs w:val="24"/>
              </w:rPr>
              <w:t>Classi di età</w:t>
            </w:r>
          </w:p>
        </w:tc>
        <w:tc>
          <w:tcPr>
            <w:tcW w:w="3350" w:type="pct"/>
            <w:vAlign w:val="center"/>
          </w:tcPr>
          <w:p w14:paraId="0E0589EA" w14:textId="7D4DF825" w:rsidR="0086297F" w:rsidRPr="00487EAE" w:rsidRDefault="0086297F" w:rsidP="002665C6">
            <w:pPr>
              <w:jc w:val="center"/>
              <w:rPr>
                <w:rFonts w:ascii="Titillium Web" w:hAnsi="Titillium Web"/>
                <w:szCs w:val="24"/>
              </w:rPr>
            </w:pPr>
            <w:r w:rsidRPr="00487EAE">
              <w:rPr>
                <w:rFonts w:ascii="Titillium Web" w:hAnsi="Titillium Web"/>
                <w:szCs w:val="24"/>
              </w:rPr>
              <w:t>Non determinabile</w:t>
            </w:r>
          </w:p>
        </w:tc>
      </w:tr>
      <w:tr w:rsidR="0086297F" w:rsidRPr="00487EAE" w14:paraId="1FFA88A1" w14:textId="77777777" w:rsidTr="002665C6">
        <w:trPr>
          <w:jc w:val="center"/>
        </w:trPr>
        <w:tc>
          <w:tcPr>
            <w:tcW w:w="1650" w:type="pct"/>
            <w:vAlign w:val="center"/>
          </w:tcPr>
          <w:p w14:paraId="63B2D8D6" w14:textId="77777777" w:rsidR="0086297F" w:rsidRPr="00487EAE" w:rsidRDefault="0086297F" w:rsidP="002665C6">
            <w:pPr>
              <w:jc w:val="center"/>
              <w:rPr>
                <w:rFonts w:ascii="Titillium Web" w:hAnsi="Titillium Web"/>
                <w:smallCaps/>
                <w:szCs w:val="24"/>
              </w:rPr>
            </w:pPr>
            <w:r w:rsidRPr="00487EAE">
              <w:rPr>
                <w:rFonts w:ascii="Titillium Web" w:hAnsi="Titillium Web"/>
                <w:smallCaps/>
                <w:szCs w:val="24"/>
              </w:rPr>
              <w:t>Bibliografia essenziale</w:t>
            </w:r>
          </w:p>
        </w:tc>
        <w:tc>
          <w:tcPr>
            <w:tcW w:w="3350" w:type="pct"/>
            <w:vAlign w:val="center"/>
          </w:tcPr>
          <w:p w14:paraId="290141E1" w14:textId="77777777" w:rsidR="00B910F0" w:rsidRPr="00487EAE" w:rsidRDefault="00B55EDC" w:rsidP="00487EAE">
            <w:pPr>
              <w:jc w:val="center"/>
              <w:rPr>
                <w:rFonts w:ascii="Titillium Web" w:hAnsi="Titillium Web"/>
                <w:szCs w:val="24"/>
              </w:rPr>
            </w:pPr>
            <w:r w:rsidRPr="00487EAE">
              <w:rPr>
                <w:rFonts w:ascii="Titillium Web" w:eastAsia="Titillium" w:hAnsi="Titillium Web" w:cs="Titillium"/>
                <w:smallCaps/>
                <w:szCs w:val="24"/>
              </w:rPr>
              <w:t>Felletti-Maj</w:t>
            </w:r>
            <w:r w:rsidRPr="00487EAE">
              <w:rPr>
                <w:rFonts w:ascii="Titillium Web" w:eastAsia="Titillium" w:hAnsi="Titillium Web" w:cs="Titillium"/>
                <w:szCs w:val="24"/>
              </w:rPr>
              <w:t xml:space="preserve"> 1940, p. 339; </w:t>
            </w:r>
            <w:r w:rsidRPr="00487EAE">
              <w:rPr>
                <w:rFonts w:ascii="Titillium Web" w:eastAsia="Titillium" w:hAnsi="Titillium Web" w:cs="Titillium"/>
                <w:smallCaps/>
                <w:szCs w:val="24"/>
              </w:rPr>
              <w:t>Serra</w:t>
            </w:r>
            <w:r w:rsidRPr="00487EAE">
              <w:rPr>
                <w:rFonts w:ascii="Titillium Web" w:eastAsia="Titillium" w:hAnsi="Titillium Web" w:cs="Titillium"/>
                <w:szCs w:val="24"/>
              </w:rPr>
              <w:t xml:space="preserve"> 2016-2017</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D72F4"/>
    <w:rsid w:val="001C17CC"/>
    <w:rsid w:val="002977D7"/>
    <w:rsid w:val="00472AF4"/>
    <w:rsid w:val="00487EAE"/>
    <w:rsid w:val="00551AF8"/>
    <w:rsid w:val="005B5AFF"/>
    <w:rsid w:val="006162A4"/>
    <w:rsid w:val="006346F7"/>
    <w:rsid w:val="006D6EFB"/>
    <w:rsid w:val="007145BC"/>
    <w:rsid w:val="0086297F"/>
    <w:rsid w:val="009E4922"/>
    <w:rsid w:val="00A71451"/>
    <w:rsid w:val="00AB321D"/>
    <w:rsid w:val="00B165C4"/>
    <w:rsid w:val="00B910F0"/>
    <w:rsid w:val="00C21EE0"/>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784</Words>
  <Characters>4469</Characters>
  <Application>Microsoft Office Word</Application>
  <DocSecurity>0</DocSecurity>
  <Lines>37</Lines>
  <Paragraphs>10</Paragraphs>
  <ScaleCrop>false</ScaleCrop>
  <Company/>
  <LinksUpToDate>false</LinksUpToDate>
  <CharactersWithSpaces>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7</cp:revision>
  <dcterms:created xsi:type="dcterms:W3CDTF">2026-04-30T12:42:00Z</dcterms:created>
  <dcterms:modified xsi:type="dcterms:W3CDTF">2026-05-13T20:18:00Z</dcterms:modified>
</cp:coreProperties>
</file>