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B599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EB599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B599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B599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EB599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EB599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B599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EB599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B599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6DE5450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Tomba 1195, a umazione</w:t>
            </w:r>
          </w:p>
          <w:p w14:paraId="2A556AA3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con cassa e tracce di calce (vedi fotografia).</w:t>
            </w:r>
          </w:p>
          <w:p w14:paraId="29E8C66F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A m. 67.20 a sud dal Donna Bianca, a m. 34 a levante della poderale e a m. 1.15 di profondità poggiava una tomba a umazione con cassa di legno.</w:t>
            </w:r>
          </w:p>
          <w:p w14:paraId="62115448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Lo scheletro era orientato con la testa a nord (perfetto), come si può vedere dalla fotografia, e i piedi a sud.</w:t>
            </w:r>
          </w:p>
          <w:p w14:paraId="4DDB44B1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Lo scheletro era assai più altro del piano sul quale posavano le suppellettili, di circa 0,30. Sullo scheletro e sugli oggetti si riscontrarono tracce di legno (forse del coperchio della cassa) e tracce di calce, specialmente sullo scheletro.</w:t>
            </w:r>
          </w:p>
          <w:p w14:paraId="6FE721C6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Lo scheletro misurava (dal cranio ai piedi) m. 1.74. Una particolarità dello scheletro è che il braccio destro era steso verso le suppellettili (come si vede dalla fotografia).</w:t>
            </w:r>
          </w:p>
          <w:p w14:paraId="1107A337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Non ho capito bene per quale ragione lo scheletro era assai più alto delle suppellettili, poiché tanto sotto i vasi, come sotto allo scheletro si rinvennero le tracce legnose del fondo della cassa.</w:t>
            </w:r>
          </w:p>
          <w:p w14:paraId="6D0D393D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Che lo scheletro fosse stato deposto sopra di un rialzo, con sotto una tavola o un piano più alto del piano in cui poggiavano i fittili?</w:t>
            </w:r>
          </w:p>
          <w:p w14:paraId="2F59C535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Terminato di togliere i vasi e cavati gli avanzi dello scheletro, ho cercato di studiare attentamente e di capire per quale ragione vi fosse un dislivello così forte fra l piano dello scheletro e il piano delle suppellettili, ma invano.</w:t>
            </w:r>
          </w:p>
          <w:p w14:paraId="21EF5966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lastRenderedPageBreak/>
              <w:t>Anche in questo caso, se si osserva la maniera con cui è disposto il materiale fittile, si ha l’impressione che esso sia precipitato e caduto in gran parte verso il fianco destro dello scheletro.</w:t>
            </w:r>
          </w:p>
          <w:p w14:paraId="76455B0B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Il cotile di sud è ribaltato verso sud-est e in avanti, l’altro cotile, presso la spalla dello scheletro è nella stessa posizione del primo, rottosi forse urtando contro gli altri fittili, con il piatto che lo copriva, spostandosi in avanti. Certo un movimento di spostamento verso levante è avvenuto nella suppellettile, mentre lo scheletro sembra essere restato fermo al suo posto. La testa si è accasciata mantenendo in posto la mascella inferiore, ma non si è inclinata né a destra né a sinistra. Forse ha ce</w:t>
            </w:r>
            <w:r w:rsidRPr="00EB599D">
              <w:rPr>
                <w:rFonts w:ascii="Titillium Web" w:hAnsi="Titillium Web"/>
                <w:i/>
                <w:iCs/>
                <w:szCs w:val="24"/>
              </w:rPr>
              <w:t>duto il terreno sottostante allo scheletro, poiché i piedi sembrano un pò più alti del centro del corpo.</w:t>
            </w:r>
          </w:p>
          <w:p w14:paraId="5DC2AFA7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La calce si rinviene abbastanza abbondante sul corpo dello scheletro, in certi posti come sul petto e fra le ossa delle gambe se ne misurato uno spessore di circa 0,03 (misto a sabbia). Ho raccolto la mandibola inferiore.</w:t>
            </w:r>
          </w:p>
          <w:p w14:paraId="10D980D9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Lo scheletro non aveva sul corpo alcun oggetto.</w:t>
            </w:r>
          </w:p>
          <w:p w14:paraId="0330BCE2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Non fu possibile raccogliere il cranio, né alcuna delle ossa lunghe, poiché erano marcite.</w:t>
            </w:r>
          </w:p>
          <w:p w14:paraId="7FCAD87B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Alla sinis. dello scheletro, distribuiti su di una linea che và dalla testa ai piedi, erano le suppellettili fittili.</w:t>
            </w:r>
          </w:p>
          <w:p w14:paraId="23DFD13C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Come ho già detto, sopra ai fittili si rinvennero tracce evidenti di fibre legnose e benché scolorite e corrose dalla calce non lasciano dubbio alcuno che si trattasse del coperchio della cassa.</w:t>
            </w:r>
          </w:p>
          <w:p w14:paraId="5C6AC097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Lo strato scuro del terreno sotto ai fittili e sotto lo scheletro era indubbiamente dovuto alla dissolvenza del legno del fondo della cassa.</w:t>
            </w:r>
          </w:p>
          <w:p w14:paraId="066B39E0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 xml:space="preserve">Ma non si rinvennero </w:t>
            </w:r>
            <w:proofErr w:type="gramStart"/>
            <w:r w:rsidRPr="00EB599D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EB599D">
              <w:rPr>
                <w:rFonts w:ascii="Titillium Web" w:hAnsi="Titillium Web"/>
                <w:i/>
                <w:iCs/>
                <w:szCs w:val="24"/>
              </w:rPr>
              <w:t xml:space="preserve"> travetti, ne avanzi di legno di uno spessore tale da supporre che la cassa fosse fatta di grosse tavole di quercia.</w:t>
            </w:r>
          </w:p>
          <w:p w14:paraId="5A97F1C2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 xml:space="preserve">Ho cercato invano, sotto i fittili, le tracce di uno sgabello o ripiano di legno sul quale avessero potuto essere disposte. L’impressione che i fittili fosse deposti su di un ripiano di legno, mi era venuta a mente osservando l’osso del braccio destro, che sembra essere stato messo apposta nella posizione stesa, </w:t>
            </w:r>
            <w:r w:rsidRPr="00EB599D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come per prendere più facilmente il viatico che era contenuto entro i vasi; </w:t>
            </w:r>
            <w:proofErr w:type="gramStart"/>
            <w:r w:rsidRPr="00EB599D">
              <w:rPr>
                <w:rFonts w:ascii="Titillium Web" w:hAnsi="Titillium Web"/>
                <w:i/>
                <w:iCs/>
                <w:szCs w:val="24"/>
              </w:rPr>
              <w:t>ad esempio</w:t>
            </w:r>
            <w:proofErr w:type="gramEnd"/>
            <w:r w:rsidRPr="00EB599D">
              <w:rPr>
                <w:rFonts w:ascii="Titillium Web" w:hAnsi="Titillium Web"/>
                <w:i/>
                <w:iCs/>
                <w:szCs w:val="24"/>
              </w:rPr>
              <w:t xml:space="preserve"> la tazzetta con entro le uova.</w:t>
            </w:r>
          </w:p>
          <w:p w14:paraId="12227FD6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L’unico oggetto che sembra essere restato al suo posto è il vaso panciuto, a orifizio rotondo, con due anse abbinate, che è presso la gamba destra dello scheletro.</w:t>
            </w:r>
          </w:p>
          <w:p w14:paraId="508EFED8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Descrizione delle suppellettili.</w:t>
            </w:r>
          </w:p>
          <w:p w14:paraId="18D396F6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A destra dello scheletro, presso la spalla, si rinvennero</w:t>
            </w:r>
          </w:p>
          <w:p w14:paraId="085323D4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1 boccalino o ascos, di forma panciuta, con ansa semicircolare e beccuccio a punta. è a vernice nera scadente, di lavoro ordinario</w:t>
            </w:r>
          </w:p>
          <w:p w14:paraId="789221ED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1 oinochoe forma di fiasca, con bocca trilobata e ansa verticale: è a vernice nera scadente. È slabbrata, ha sul ventre una sigla a croce</w:t>
            </w:r>
          </w:p>
          <w:p w14:paraId="192C7DDB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B599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B599D">
              <w:rPr>
                <w:rFonts w:ascii="Titillium Web" w:hAnsi="Titillium Web"/>
                <w:i/>
                <w:iCs/>
                <w:szCs w:val="24"/>
              </w:rPr>
              <w:t xml:space="preserve"> scodelle a vern. nera, scadente, con piede a listello, intere</w:t>
            </w:r>
          </w:p>
          <w:p w14:paraId="5AE4FEAB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1 cotile della solita forma tarda, con piede stretto, di spessore rilevante e di fattura dozzinale e pesante.</w:t>
            </w:r>
          </w:p>
          <w:p w14:paraId="1E0AC43C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È a vern. nera scadente, in frammenti.</w:t>
            </w:r>
          </w:p>
          <w:p w14:paraId="1E16EAAB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Presso il cotile era:</w:t>
            </w:r>
          </w:p>
          <w:p w14:paraId="703576CA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1 piatto con cavetto centrale, anch’esso di fattezza tozza e pesante, con vernice bruno scura, scadente. Intero</w:t>
            </w:r>
          </w:p>
          <w:p w14:paraId="4E1B06F6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Presso la mano destra dello scheletro:</w:t>
            </w:r>
          </w:p>
          <w:p w14:paraId="7DE6F4A3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1 tazzetta a vernice nera, scadente, entro la quale erano dei gusci di uovo, in minuti frammenti</w:t>
            </w:r>
          </w:p>
          <w:p w14:paraId="20441949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1 lekane, con coperchio decorato con pennellate di disegno inabile (palmette) a vern. bruno scura; la tazza, anch’essa è decorata di sotto con disegni di palmette a pennellate simili a quelle del coperchio. è in frammenti, ma restaurabile.</w:t>
            </w:r>
          </w:p>
          <w:p w14:paraId="6F8AD9F6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Seguendo la linea dei fittili, verso i piedi dello scheletro:</w:t>
            </w:r>
          </w:p>
          <w:p w14:paraId="3CD8A768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B599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B599D">
              <w:rPr>
                <w:rFonts w:ascii="Titillium Web" w:hAnsi="Titillium Web"/>
                <w:i/>
                <w:iCs/>
                <w:szCs w:val="24"/>
              </w:rPr>
              <w:t xml:space="preserve"> scodelle a vern. nera, scadente, in frammenti</w:t>
            </w:r>
          </w:p>
          <w:p w14:paraId="5E9B1021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1 cotile eguale al precedente, in frammenti.</w:t>
            </w:r>
          </w:p>
          <w:p w14:paraId="7DC6A989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Il cotile era coperto da.</w:t>
            </w:r>
          </w:p>
          <w:p w14:paraId="4962EE05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1 piatto con cavetto, eguale a quello precedentemente già descritto, e intero</w:t>
            </w:r>
          </w:p>
          <w:p w14:paraId="73521C64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 xml:space="preserve">1 oinochoe a forma di fiasca, con bocca trilobata e ansa verticale. è a vern. nera scadente, </w:t>
            </w:r>
            <w:proofErr w:type="gramStart"/>
            <w:r w:rsidRPr="00EB599D">
              <w:rPr>
                <w:rFonts w:ascii="Titillium Web" w:hAnsi="Titillium Web"/>
                <w:i/>
                <w:iCs/>
                <w:szCs w:val="24"/>
              </w:rPr>
              <w:t>e</w:t>
            </w:r>
            <w:proofErr w:type="gramEnd"/>
            <w:r w:rsidRPr="00EB599D">
              <w:rPr>
                <w:rFonts w:ascii="Titillium Web" w:hAnsi="Titillium Web"/>
                <w:i/>
                <w:iCs/>
                <w:szCs w:val="24"/>
              </w:rPr>
              <w:t xml:space="preserve"> eguale al precedente, slabbrato.</w:t>
            </w:r>
          </w:p>
          <w:p w14:paraId="30181BB8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Presso la gamba destra:</w:t>
            </w:r>
          </w:p>
          <w:p w14:paraId="27EC3132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lastRenderedPageBreak/>
              <w:t>1 vaso panciuto, con pieduccio a bocca circolare su collo alto, con due anse abbinate. è decorato con pennellate di vernice bruno-scura, sul ventre. Ha la bocca e le anse staccate</w:t>
            </w:r>
          </w:p>
          <w:p w14:paraId="2B280C5A" w14:textId="77777777" w:rsidR="00CB46D0" w:rsidRPr="00EB599D" w:rsidRDefault="0041201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599D">
              <w:rPr>
                <w:rFonts w:ascii="Titillium Web" w:hAnsi="Titillium Web"/>
                <w:i/>
                <w:iCs/>
                <w:szCs w:val="24"/>
              </w:rPr>
              <w:t>(Hummus m. 0,35)</w:t>
            </w:r>
          </w:p>
        </w:tc>
      </w:tr>
      <w:tr w:rsidR="0086297F" w:rsidRPr="00EB599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B599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B599D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EB599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B599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B599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EB599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B599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599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A6EB396" w14:textId="77777777" w:rsidR="00CB46D0" w:rsidRPr="00EB599D" w:rsidRDefault="00412018" w:rsidP="00EB599D">
            <w:pPr>
              <w:jc w:val="center"/>
              <w:rPr>
                <w:rFonts w:ascii="Titillium Web" w:hAnsi="Titillium Web"/>
                <w:szCs w:val="24"/>
              </w:rPr>
            </w:pPr>
            <w:r w:rsidRPr="00EB599D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EB599D">
              <w:rPr>
                <w:rFonts w:ascii="Titillium Web" w:eastAsia="Titillium" w:hAnsi="Titillium Web" w:cs="Titillium"/>
                <w:szCs w:val="24"/>
              </w:rPr>
              <w:t xml:space="preserve"> 1940, p. 339; </w:t>
            </w:r>
            <w:r w:rsidRPr="00EB599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EB599D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A60DF"/>
    <w:rsid w:val="0086297F"/>
    <w:rsid w:val="009E4922"/>
    <w:rsid w:val="00AB321D"/>
    <w:rsid w:val="00B165C4"/>
    <w:rsid w:val="00C21EE0"/>
    <w:rsid w:val="00CB46D0"/>
    <w:rsid w:val="00D900AB"/>
    <w:rsid w:val="00D936E8"/>
    <w:rsid w:val="00E24633"/>
    <w:rsid w:val="00EB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2026-05-13T20:22:00Z</dcterms:modified>
</cp:coreProperties>
</file>