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3215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3215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18FD3C00" w:rsidR="001B5504" w:rsidRPr="00B32150" w:rsidRDefault="006A7F4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B3215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3215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3215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1B5504" w:rsidRPr="00B3215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3215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C2B2297" w:rsidR="001B5504" w:rsidRPr="00B32150" w:rsidRDefault="004E6B6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15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DDAA51D" w:rsidR="001B5504" w:rsidRPr="00B32150" w:rsidRDefault="004E6B6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15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3215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699DB05" w14:textId="77777777" w:rsidR="004E6B62" w:rsidRPr="00B32150" w:rsidRDefault="004E6B62" w:rsidP="004E6B6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>120 tomba &lt; a cremazione &gt;</w:t>
            </w:r>
          </w:p>
          <w:p w14:paraId="27740AE9" w14:textId="77777777" w:rsidR="004E6B62" w:rsidRPr="00B32150" w:rsidRDefault="004E6B62" w:rsidP="004E6B6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A m. 28 dal frumento e a m. 12 dall’asse del dosso a lev., a m. 0,95 di profondità poggia 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B3215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B3215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di impasto cenerognolo, senza anse e liscio, coperto da 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ciotola di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 terra giallo chiara, di spessore grossissimo e intera.</w:t>
            </w:r>
          </w:p>
          <w:p w14:paraId="29D35A0C" w14:textId="77777777" w:rsidR="004E6B62" w:rsidRPr="00B32150" w:rsidRDefault="004E6B62" w:rsidP="004E6B6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Il </w:t>
            </w:r>
            <w:proofErr w:type="spellStart"/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 è intero, ed è alto 0, </w:t>
            </w:r>
            <w:r w:rsidRPr="00B32150">
              <w:rPr>
                <w:rFonts w:ascii="Titillium Web" w:hAnsi="Titillium Web" w:cs="Times New Roman"/>
                <w:szCs w:val="24"/>
              </w:rPr>
              <w:t>[…].</w:t>
            </w:r>
          </w:p>
          <w:p w14:paraId="2C324A30" w14:textId="77777777" w:rsidR="004E6B62" w:rsidRPr="00B32150" w:rsidRDefault="004E6B62" w:rsidP="004E6B6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e la scodella ha un diametro di 0, </w:t>
            </w:r>
            <w:r w:rsidRPr="00B32150">
              <w:rPr>
                <w:rFonts w:ascii="Titillium Web" w:hAnsi="Titillium Web" w:cs="Times New Roman"/>
                <w:szCs w:val="24"/>
              </w:rPr>
              <w:t>[…].</w:t>
            </w:r>
          </w:p>
          <w:p w14:paraId="2054E663" w14:textId="77777777" w:rsidR="004E6B62" w:rsidRPr="00B32150" w:rsidRDefault="004E6B62" w:rsidP="004E6B6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>Durante lo scavo all’inizio, si rinvengono continuamente frammenti di vasi grossolani, di piattelli, di scodelle, che dimostrano il saccheggio avvenuto in altri tempi (io sono propenso ad addebitarlo ai romani).</w:t>
            </w:r>
          </w:p>
          <w:p w14:paraId="1A6B7E7E" w14:textId="6E326A3D" w:rsidR="001B5504" w:rsidRPr="00B32150" w:rsidRDefault="004E6B62" w:rsidP="004E6B62">
            <w:pPr>
              <w:rPr>
                <w:rFonts w:ascii="Titillium Web" w:hAnsi="Titillium Web" w:cs="Times New Roman"/>
                <w:szCs w:val="24"/>
              </w:rPr>
            </w:pP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Fra le cose non raccolte è 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coperchio di urna sepolcrale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>, di marmo, con il tetto alla cappuccina (a 2 spioventi) leggermente frammentario in uno spigolo (romano?) il coperchio ha due lati lavorati, in cima un pignone liscio e ai lati 2 acroteri.</w:t>
            </w:r>
            <w:r w:rsidRPr="00B32150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B32150">
              <w:rPr>
                <w:rFonts w:ascii="Titillium Web" w:hAnsi="Titillium Web" w:cs="Times New Roman"/>
                <w:i/>
                <w:iCs/>
                <w:szCs w:val="24"/>
              </w:rPr>
              <w:t xml:space="preserve">misura alla base 0, </w:t>
            </w:r>
            <w:r w:rsidRPr="00B32150">
              <w:rPr>
                <w:rFonts w:ascii="Titillium Web" w:hAnsi="Titillium Web" w:cs="Times New Roman"/>
                <w:szCs w:val="24"/>
              </w:rPr>
              <w:t>[…].</w:t>
            </w:r>
          </w:p>
        </w:tc>
      </w:tr>
      <w:tr w:rsidR="001B5504" w:rsidRPr="00B3215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DE6AEF4" w14:textId="46B776AC" w:rsidR="00CB374C" w:rsidRPr="000D6B13" w:rsidRDefault="00CB374C" w:rsidP="002C3B11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0D6B13">
              <w:rPr>
                <w:rFonts w:ascii="Titillium Web" w:hAnsi="Titillium Web" w:cs="Times New Roman"/>
                <w:szCs w:val="24"/>
              </w:rPr>
              <w:t>I resti cremati del defunto erano conservati in un cinerario di piccole dimensioni (n. 1*), coperto da un bacile-mortaio (n. 2). Entrambi i vasi erano di produzione locale e solo il coperchio risulta tuttora conservato. Durante lo scavo della sepoltura, sono stati inoltre rinvenuti, ma non recuperati, frr. di piatti e coppe, verosimilmente di produzione locale, nonché un probabile coperchio in marmo riferibile ad una probabile tomba romana.</w:t>
            </w:r>
          </w:p>
          <w:p w14:paraId="60B2FFE7" w14:textId="77777777" w:rsidR="001B5504" w:rsidRPr="000D6B13" w:rsidRDefault="002C3B11" w:rsidP="002C3B11">
            <w:pPr>
              <w:jc w:val="center"/>
              <w:rPr>
                <w:rFonts w:ascii="Titillium Web" w:hAnsi="Titillium Web"/>
                <w:szCs w:val="24"/>
              </w:rPr>
            </w:pPr>
            <w:r w:rsidRPr="000D6B13">
              <w:rPr>
                <w:rFonts w:ascii="Titillium Web" w:hAnsi="Titillium Web"/>
                <w:szCs w:val="24"/>
              </w:rPr>
              <w:t>1*. Olla di produzione locale (ceramica grezza?)</w:t>
            </w:r>
          </w:p>
          <w:p w14:paraId="5EE32F9C" w14:textId="3BC66FB0" w:rsidR="002C3B11" w:rsidRPr="000D6B13" w:rsidRDefault="002C3B11" w:rsidP="002C3B11">
            <w:pPr>
              <w:jc w:val="center"/>
              <w:rPr>
                <w:rFonts w:ascii="Titillium Web" w:hAnsi="Titillium Web"/>
                <w:szCs w:val="24"/>
              </w:rPr>
            </w:pPr>
            <w:r w:rsidRPr="000D6B13">
              <w:rPr>
                <w:rFonts w:ascii="Titillium Web" w:hAnsi="Titillium Web"/>
                <w:szCs w:val="24"/>
              </w:rPr>
              <w:lastRenderedPageBreak/>
              <w:t>2. Bacile-mortaio di produzione locale (IG 45079; ceramica grezza)</w:t>
            </w:r>
          </w:p>
        </w:tc>
      </w:tr>
      <w:tr w:rsidR="001B5504" w:rsidRPr="00B3215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D2EA9A6" w:rsidR="001B5504" w:rsidRPr="00B32150" w:rsidRDefault="00B3215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15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22F2849" w:rsidR="001B5504" w:rsidRPr="00B32150" w:rsidRDefault="00B3215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15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15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15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15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321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3215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12EEC9E" w:rsidR="001B5504" w:rsidRPr="00B32150" w:rsidRDefault="0078460F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3215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3215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3215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3215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6B13"/>
    <w:rsid w:val="000D72F4"/>
    <w:rsid w:val="001B5504"/>
    <w:rsid w:val="001F2833"/>
    <w:rsid w:val="0029024B"/>
    <w:rsid w:val="002977D7"/>
    <w:rsid w:val="002C3B11"/>
    <w:rsid w:val="002F1500"/>
    <w:rsid w:val="00472AF4"/>
    <w:rsid w:val="004E6B62"/>
    <w:rsid w:val="00560743"/>
    <w:rsid w:val="005B5AFF"/>
    <w:rsid w:val="00660911"/>
    <w:rsid w:val="0068458A"/>
    <w:rsid w:val="006A7F40"/>
    <w:rsid w:val="00710B38"/>
    <w:rsid w:val="007145BC"/>
    <w:rsid w:val="0078460F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32150"/>
    <w:rsid w:val="00B86B2D"/>
    <w:rsid w:val="00BE2CB2"/>
    <w:rsid w:val="00BE63CC"/>
    <w:rsid w:val="00BF212E"/>
    <w:rsid w:val="00C21EE0"/>
    <w:rsid w:val="00C30F5C"/>
    <w:rsid w:val="00CB374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customStyle="1" w:styleId="TestocommentoCarattere1">
    <w:name w:val="Testo commento Carattere1"/>
    <w:basedOn w:val="Carpredefinitoparagrafo"/>
    <w:rsid w:val="00CB374C"/>
    <w:rPr>
      <w:rFonts w:eastAsia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2026-05-18T08:48:00Z</dcterms:modified>
</cp:coreProperties>
</file>