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1201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E51B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2E51B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E51B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E51B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E51B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2E51B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E51B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51B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E51B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7285BB" w14:textId="77777777" w:rsidR="00353B2E" w:rsidRPr="002E51B4" w:rsidRDefault="00EC3E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51B4">
              <w:rPr>
                <w:rFonts w:ascii="Titillium Web" w:hAnsi="Titillium Web"/>
                <w:i/>
                <w:iCs/>
                <w:szCs w:val="24"/>
              </w:rPr>
              <w:t>Tomba a cremazione, 1201.</w:t>
            </w:r>
          </w:p>
          <w:p w14:paraId="128125E9" w14:textId="77777777" w:rsidR="00353B2E" w:rsidRPr="002E51B4" w:rsidRDefault="00EC3E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51B4">
              <w:rPr>
                <w:rFonts w:ascii="Titillium Web" w:hAnsi="Titillium Web"/>
                <w:i/>
                <w:iCs/>
                <w:szCs w:val="24"/>
              </w:rPr>
              <w:t>nulla raccolto.</w:t>
            </w:r>
          </w:p>
          <w:p w14:paraId="7F98205A" w14:textId="77777777" w:rsidR="00353B2E" w:rsidRPr="002E51B4" w:rsidRDefault="00EC3E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51B4">
              <w:rPr>
                <w:rFonts w:ascii="Titillium Web" w:hAnsi="Titillium Web"/>
                <w:i/>
                <w:iCs/>
                <w:szCs w:val="24"/>
              </w:rPr>
              <w:t>A sud della 1200 si rinviene una tomba a cremazione.</w:t>
            </w:r>
          </w:p>
          <w:p w14:paraId="0A1E0C31" w14:textId="77777777" w:rsidR="00353B2E" w:rsidRPr="002E51B4" w:rsidRDefault="00EC3E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51B4">
              <w:rPr>
                <w:rFonts w:ascii="Titillium Web" w:hAnsi="Titillium Web"/>
                <w:i/>
                <w:iCs/>
                <w:szCs w:val="24"/>
              </w:rPr>
              <w:t>Un doliaccio di argilla rossastra, di forma sferoidale, con orifizio molto aperto, e tutto marcito, posava a m. 0.85 di profondità e distava m. 86.80 dal Donna Bianca e a m. 35 dalla poderale.</w:t>
            </w:r>
          </w:p>
          <w:p w14:paraId="3DC67211" w14:textId="77777777" w:rsidR="00353B2E" w:rsidRPr="002E51B4" w:rsidRDefault="00EC3E7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E51B4">
              <w:rPr>
                <w:rFonts w:ascii="Titillium Web" w:hAnsi="Titillium Web"/>
                <w:i/>
                <w:iCs/>
                <w:szCs w:val="24"/>
              </w:rPr>
              <w:t>Non fu possibile raccoglierlo perché marcito completamente.</w:t>
            </w:r>
          </w:p>
          <w:p w14:paraId="0112CDD9" w14:textId="77777777" w:rsidR="00353B2E" w:rsidRPr="002E51B4" w:rsidRDefault="00EC3E70">
            <w:pPr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i/>
                <w:iCs/>
                <w:szCs w:val="24"/>
              </w:rPr>
              <w:t>Conteneva, nel fondo, poche ossa combuste.</w:t>
            </w:r>
          </w:p>
        </w:tc>
      </w:tr>
      <w:tr w:rsidR="0086297F" w:rsidRPr="002E51B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2E51B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51B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51B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E51B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E51B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E51B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E51B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96F9EE0" w14:textId="77777777" w:rsidR="00353B2E" w:rsidRPr="002E51B4" w:rsidRDefault="00EC3E70" w:rsidP="002E51B4">
            <w:pPr>
              <w:jc w:val="center"/>
              <w:rPr>
                <w:rFonts w:ascii="Titillium Web" w:hAnsi="Titillium Web"/>
                <w:szCs w:val="24"/>
              </w:rPr>
            </w:pPr>
            <w:r w:rsidRPr="002E51B4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2E51B4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2E51B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2E51B4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2E51B4"/>
    <w:rsid w:val="00353B2E"/>
    <w:rsid w:val="00472AF4"/>
    <w:rsid w:val="00491F4B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2026-05-13T19:35:00Z</dcterms:modified>
</cp:coreProperties>
</file>