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F2C7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AF2C7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F2C7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F2C7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F2C7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AF2C7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F2C7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F2C7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F2C7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72DD56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Tomba 1202 a umazione</w:t>
            </w:r>
          </w:p>
          <w:p w14:paraId="63A206C1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A m. 88,70 dal Donna Bianca, a m. 35,86 a levante dalla poderale e a m. 0,90 di profondità si rinviene una tomba a umazione.</w:t>
            </w:r>
          </w:p>
          <w:p w14:paraId="59EA0423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Su di una linea nord-ovest e sud-est è accatastato il materiale fittile e lo scheletro è a nord delle suppellettili e mancante degli arti inferiori.</w:t>
            </w:r>
          </w:p>
          <w:p w14:paraId="01AD8D62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Evidentemente lo scheletro fu tagliato durante i lavori di scavo per gli scassi del gennaio scorso.</w:t>
            </w:r>
          </w:p>
          <w:p w14:paraId="7A1593D5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L’avanzo del cranio era consumatissimo e si discerneva appena tra la sabbia bagnata.</w:t>
            </w:r>
          </w:p>
          <w:p w14:paraId="28D54B2B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Era orientato da nord-ovest a sud-est.</w:t>
            </w:r>
          </w:p>
          <w:p w14:paraId="19B173AF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Anche questa tomba presenta, per la disposizione delle suppellettili, la domanda se avesse o no la cassa di legno?</w:t>
            </w:r>
          </w:p>
          <w:p w14:paraId="47AFC9DB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I fittili in una sola linea, tutti inclinati o rovesciati verso nord-est, lasciano supporre che la tomba avesse la cassa di legno, o che il materiale fittile sia crollato a nord-est quando la cassa marcita si è disfatta.</w:t>
            </w:r>
          </w:p>
          <w:p w14:paraId="3DDFA2C3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Su alcuno dei fittili, come ad esempio uno dei piatti per pesce, con cavetto centrale, contiene ancora aderente gli avanzi legnosi che potrebbero essere del coperchio della cassa.</w:t>
            </w:r>
          </w:p>
          <w:p w14:paraId="4773E244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I fittili sono più alti di circa 25 centimetri dal piano su cui posava lo scheletro.</w:t>
            </w:r>
          </w:p>
          <w:p w14:paraId="43BC12DC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Avevano essi un panchetto sul quale fossero stati disposti?</w:t>
            </w:r>
          </w:p>
          <w:p w14:paraId="212C58B1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Nessuna traccia, di ciò, appare.</w:t>
            </w:r>
          </w:p>
          <w:p w14:paraId="3D533ED1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lastRenderedPageBreak/>
              <w:t>Elenco dei fittili.</w:t>
            </w:r>
          </w:p>
          <w:p w14:paraId="3D9D9A76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Fra il cumulo dei fittili, si raccolsero:</w:t>
            </w:r>
          </w:p>
          <w:p w14:paraId="623B8618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2 piatti con cavetto centrale (per pesci ?) di argilla cenerognola, lisci e grezzi.</w:t>
            </w:r>
          </w:p>
          <w:p w14:paraId="20942FC5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Sono interi, su di uno si conserva uno strato di fibre legnose che potrebbero essere i residui del coperchio della cassa.</w:t>
            </w:r>
          </w:p>
          <w:p w14:paraId="6FF9655E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2 piccoli cotili, di forma tarda, di argilla giallo chiara, verniciati in una tinta ormai scomparsa, che dovrebbe essere stata quasi nera. Sono in frammenti.</w:t>
            </w:r>
          </w:p>
          <w:p w14:paraId="4DB2A7F5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3 tazzette apode, di argilla cenerognola grezze e lisce; due di esse sono frammentarie.</w:t>
            </w:r>
          </w:p>
          <w:p w14:paraId="59E22F8E" w14:textId="77777777" w:rsidR="00C31299" w:rsidRPr="00AF2C7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F2C7D">
              <w:rPr>
                <w:rFonts w:ascii="Titillium Web" w:hAnsi="Titillium Web"/>
                <w:i/>
                <w:iCs/>
                <w:szCs w:val="24"/>
              </w:rPr>
              <w:t>6 piccoli piattelli a basso piede, di argilla cenerognola, lisci e grezzi (uno in frammenti).</w:t>
            </w:r>
          </w:p>
        </w:tc>
      </w:tr>
      <w:tr w:rsidR="0086297F" w:rsidRPr="00AF2C7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F2C7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2C7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F2C7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F2C7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F2C7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F2C7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F2C7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473459" w14:textId="77777777" w:rsidR="00C31299" w:rsidRPr="00AF2C7D" w:rsidRDefault="00000000" w:rsidP="00AF2C7D">
            <w:pPr>
              <w:jc w:val="center"/>
              <w:rPr>
                <w:rFonts w:ascii="Titillium Web" w:hAnsi="Titillium Web"/>
                <w:szCs w:val="24"/>
              </w:rPr>
            </w:pPr>
            <w:r w:rsidRPr="00AF2C7D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AF2C7D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AF2C7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F2C7D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AF2C7D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F2C7D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5592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F2C7D"/>
    <w:rsid w:val="00B165C4"/>
    <w:rsid w:val="00C21EE0"/>
    <w:rsid w:val="00C3129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2026-05-13T19:34:00Z</dcterms:modified>
</cp:coreProperties>
</file>