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336B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E336B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336B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336B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336B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336B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336B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336B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336B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04E34C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Tomba 1208 a umazione</w:t>
            </w:r>
          </w:p>
          <w:p w14:paraId="61909234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con cassa di legno?</w:t>
            </w:r>
          </w:p>
          <w:p w14:paraId="0245CC8E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Fotografia -</w:t>
            </w:r>
          </w:p>
          <w:p w14:paraId="4AC51A22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A m. 26,60 a lev. della poderale, a m. 79,10 a sud del Donna Bianca e a m. 1,00 di profondità poggiava uno scheletro (il cranio) orientato da nord-ovest a sud-est.</w:t>
            </w:r>
          </w:p>
          <w:p w14:paraId="06886D30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A destra dello scheletro erano le suppellettili disposte su una linea orientata come lo scheletro. Anche la posizione di questi fittili non è del tutto naturale, poiché si ha l’impressione che essi si siano rovesciati simultaneamente dal lato sud. Sopra i vasi si rinvennero appiccicate le fibre legnose marcite che saranno del coperchio della cassa.</w:t>
            </w:r>
          </w:p>
          <w:p w14:paraId="3AD184F5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Anche sulle ossa dello scheletro si riscontrarono avanzi legnosi, ma sulla sabbia nulla. Lo scheletro non è scomposto, soltanto il cranio è scivolato sopra la spalla sinistra, come si può vedere dalla fotografia. Esso misura m. 1,67 di lunghezza.</w:t>
            </w:r>
          </w:p>
          <w:p w14:paraId="12E67F87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Le suppellettili sono (come generalmente in questo dosso) di fattura tozza e scadente sia nelle forme che nelle vernici.</w:t>
            </w:r>
          </w:p>
          <w:p w14:paraId="2FB70D53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2 oinochoai a forma di fiasco, a bocca trilobata ed ansa verticale, con vernice bruno rossastra, scadente.</w:t>
            </w:r>
          </w:p>
          <w:p w14:paraId="1C86F43C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I due vasi erano all’estremità opposte della linea dei vasi, uno a levante presso i ginocchi e l’altro presso la spalla dello scheletro, a ponente.</w:t>
            </w:r>
          </w:p>
          <w:p w14:paraId="0054556D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lastRenderedPageBreak/>
              <w:t>Fra i due oinochoai era un gruppo di vasi accatastato gli uni sugli altri (parte erano sepolti sotto il cumulo quando si è eseguita la fotografia).</w:t>
            </w:r>
          </w:p>
          <w:p w14:paraId="3E5DEFD8" w14:textId="4B8EC998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1 cotile di forma tarda, a piede stretto,</w:t>
            </w:r>
            <w:r w:rsidR="00E336BE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="00E336BE" w:rsidRPr="00E336BE">
              <w:rPr>
                <w:rFonts w:ascii="Titillium Web" w:hAnsi="Titillium Web"/>
                <w:i/>
                <w:iCs/>
                <w:szCs w:val="24"/>
              </w:rPr>
              <w:t>a vernice</w:t>
            </w:r>
            <w:r w:rsidRPr="00E336BE">
              <w:rPr>
                <w:rFonts w:ascii="Titillium Web" w:hAnsi="Titillium Web"/>
                <w:i/>
                <w:iCs/>
                <w:szCs w:val="24"/>
              </w:rPr>
              <w:t xml:space="preserve"> nera scadente, è leggermente frammentato. Era coperto da</w:t>
            </w:r>
          </w:p>
          <w:p w14:paraId="34C7029E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1 piatto per pesce, con cavetto centrale, a vern. nera brunastra, scadente. è leggermente frammentato nell’orlo</w:t>
            </w:r>
          </w:p>
          <w:p w14:paraId="51BC44C2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1 gutthus (boccalino) a forma ventricosa con beccuccio orizzontale e ansa semicircolare (frammentata).</w:t>
            </w:r>
          </w:p>
          <w:p w14:paraId="3EA6ACC1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Ha la bocca staccata dal corpo, da un colpo di mazza.</w:t>
            </w:r>
          </w:p>
          <w:p w14:paraId="1B3E3FA2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È di argilla giallo chiara, grezzo, liscio (porta le tracce legnose appiccicate sulla parete che guardava in sù)</w:t>
            </w:r>
          </w:p>
          <w:p w14:paraId="3E1BE352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336B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336BE">
              <w:rPr>
                <w:rFonts w:ascii="Titillium Web" w:hAnsi="Titillium Web"/>
                <w:i/>
                <w:iCs/>
                <w:szCs w:val="24"/>
              </w:rPr>
              <w:t xml:space="preserve"> scodelle piuttosto grandi, con piede basso a listello, a vern. nera scadente: una reca all’interno palmette a stampo.</w:t>
            </w:r>
          </w:p>
          <w:p w14:paraId="4EECA6D7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36BE">
              <w:rPr>
                <w:rFonts w:ascii="Titillium Web" w:hAnsi="Titillium Web"/>
                <w:i/>
                <w:iCs/>
                <w:szCs w:val="24"/>
              </w:rPr>
              <w:t>1 scodellina più piccola, idem.</w:t>
            </w:r>
          </w:p>
          <w:p w14:paraId="67C96F14" w14:textId="77777777" w:rsidR="00B6665B" w:rsidRPr="00E336BE" w:rsidRDefault="003E035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336B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336BE">
              <w:rPr>
                <w:rFonts w:ascii="Titillium Web" w:hAnsi="Titillium Web"/>
                <w:i/>
                <w:iCs/>
                <w:szCs w:val="24"/>
              </w:rPr>
              <w:t xml:space="preserve"> piattini a pieduccio con vernice nera scadente.</w:t>
            </w:r>
          </w:p>
        </w:tc>
      </w:tr>
      <w:tr w:rsidR="0086297F" w:rsidRPr="00E336B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336B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36B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36B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33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336B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33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36B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B73E77" w14:textId="77777777" w:rsidR="00B6665B" w:rsidRPr="00E336BE" w:rsidRDefault="003E0358" w:rsidP="00E336BE">
            <w:pPr>
              <w:jc w:val="center"/>
              <w:rPr>
                <w:rFonts w:ascii="Titillium Web" w:hAnsi="Titillium Web"/>
                <w:szCs w:val="24"/>
              </w:rPr>
            </w:pPr>
            <w:r w:rsidRPr="00E336BE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E336BE">
              <w:rPr>
                <w:rFonts w:ascii="Titillium Web" w:eastAsia="Titillium" w:hAnsi="Titillium Web" w:cs="Titillium"/>
                <w:szCs w:val="24"/>
              </w:rPr>
              <w:t xml:space="preserve"> 1940, p. 340; </w:t>
            </w:r>
            <w:r w:rsidRPr="00E336BE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E336BE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6665B"/>
    <w:rsid w:val="00C21EE0"/>
    <w:rsid w:val="00D900AB"/>
    <w:rsid w:val="00D936E8"/>
    <w:rsid w:val="00E24633"/>
    <w:rsid w:val="00E336BE"/>
    <w:rsid w:val="00F0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2026-05-13T19:30:00Z</dcterms:modified>
</cp:coreProperties>
</file>