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113FB1B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 xml:space="preserve">Valle Trebba – Tomba </w:t>
      </w:r>
      <w:r w:rsidR="006346F7">
        <w:rPr>
          <w:rFonts w:ascii="Titillium Web" w:hAnsi="Titillium Web"/>
          <w:b/>
          <w:bCs/>
          <w:sz w:val="28"/>
          <w:szCs w:val="24"/>
        </w:rPr>
        <w:t>1210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3669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53669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3669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3669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3669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53669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2,5x2,0</w:t>
            </w:r>
          </w:p>
        </w:tc>
      </w:tr>
      <w:tr w:rsidR="0086297F" w:rsidRPr="0053669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0639301F" w:rsidR="0086297F" w:rsidRPr="0053669A" w:rsidRDefault="0053669A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3669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3669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1709834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Tomba 1210 a umazione</w:t>
            </w:r>
          </w:p>
          <w:p w14:paraId="778BBA7C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con cassa di legno e spesso strato di calce.</w:t>
            </w:r>
          </w:p>
          <w:p w14:paraId="467E1EB5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A m. 87,45 a sud del Donna Bianca, a m. 59,50 a lev. della poderale e a m. 1,10 di profondità giaceva lo scheletro in una tomba con cassa di legno e travetti.</w:t>
            </w:r>
          </w:p>
          <w:p w14:paraId="6F6CE2BD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La cassa e lo scheletro sono orientati da nord-ovest a sud-est.</w:t>
            </w:r>
          </w:p>
          <w:p w14:paraId="3F435676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Anche questa tomba per la suppellettile è gemella alla 1170 (la quale distava da questa solo 6 metri).</w:t>
            </w:r>
          </w:p>
          <w:p w14:paraId="1558B2A1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Lo scheletro e parte delle suppellettili erano di pochi centimetri sottostanti allo scavo già eseguito nel febbraio scorso dai lavoratori della bonifica per la costruzione degli scassi per vigna.</w:t>
            </w:r>
          </w:p>
          <w:p w14:paraId="06C98217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La tomba (1210) assieme alla 1211 è apparsa alle ore 16, ora in cui smettono il lavoro gli operai, e ho dovuto assieme al guardiano Tomasi e all’operaio Cavallari Amedeo, mettermi al lavoro di scavo, di esplorazione, fotografia, descrizione e raccolta del materiale, avanti sera poiché non era neppure da pensarci a lasciare in quelle condizioni una tomba con materiale per scavarla il giorno dopo.</w:t>
            </w:r>
          </w:p>
          <w:p w14:paraId="7B905749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Le fotografie le ho eseguite alle ore 17 e mezza ora in cui la luce del giorno cala rapidamente e non ha più forza.</w:t>
            </w:r>
          </w:p>
          <w:p w14:paraId="6B718ECB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Abbiamo terminato il lavoro alle ore 19.</w:t>
            </w:r>
          </w:p>
          <w:p w14:paraId="7E7FE493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 xml:space="preserve">Ho dovuto di ciò fare cenno poiché nella fotografia non risulta la posizione dello scheletro (che è ancora più basso di quanto si vede in fotografia) non solo, ma non si vedono come nello </w:t>
            </w:r>
            <w:r w:rsidRPr="0053669A">
              <w:rPr>
                <w:rFonts w:ascii="Titillium Web" w:hAnsi="Titillium Web"/>
                <w:i/>
                <w:iCs/>
                <w:szCs w:val="24"/>
              </w:rPr>
              <w:lastRenderedPageBreak/>
              <w:t>schizzo anche vasi che si rinvennero poi sullo scheletro, come l’anforina con il corpo a costolature verticali, e la tazzetta entro la quale era il coperchietto dell’anfora. Lo scheletro è assai più alto che il piano sul quale posano le suppellettili, e queste osano sul fondo della cassa di legno.</w:t>
            </w:r>
          </w:p>
          <w:p w14:paraId="0B70CBB9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Poiché sotto i vasi si rinvennero le tracce vistosissime del legno della cassa.</w:t>
            </w:r>
          </w:p>
          <w:p w14:paraId="0144367A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È evidente che anche in questa tomba è avvenuta una inclinazione delle suppellettili che si sono rovesciate in vari sensi.</w:t>
            </w:r>
          </w:p>
          <w:p w14:paraId="30EA97A0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Nella parte superiore (nord-ovest) i vasi grandi (anfora puntuta) e i due crateri figurati si sono inclinati verso nord-ovest; le altre suppellettili sembra si siano rovesciate verso est.</w:t>
            </w:r>
          </w:p>
          <w:p w14:paraId="32C79C89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L’anforina a costolature, che era sul petto dello scheletro, si è rovesciata a sud-est e il suo coperchio è caduto entro una tazzetta comune, a vern. nera, che è posta fra le gambe dello scheletro.</w:t>
            </w:r>
          </w:p>
          <w:p w14:paraId="2ECCF6B8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Le altre suppellettili sono più o meno rovesciate e in disordine.</w:t>
            </w:r>
          </w:p>
          <w:p w14:paraId="0821C2DB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Un denso strati di calce bianca era steso sopra gli oggetti e li avvolgeva in uno strato che fra sabbia e calce (tutto fuso) aveva lo spessore di 15 centimetri circa (compreso lo scheletro).</w:t>
            </w:r>
          </w:p>
          <w:p w14:paraId="123D0AC4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 xml:space="preserve">La tomba era limitata da </w:t>
            </w:r>
            <w:proofErr w:type="gramStart"/>
            <w:r w:rsidRPr="0053669A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53669A">
              <w:rPr>
                <w:rFonts w:ascii="Titillium Web" w:hAnsi="Titillium Web"/>
                <w:i/>
                <w:iCs/>
                <w:szCs w:val="24"/>
              </w:rPr>
              <w:t xml:space="preserve"> travetti di quercia (?) che ne formavano l’intelaiatura come si vede anche dalla fotografia).</w:t>
            </w:r>
          </w:p>
          <w:p w14:paraId="4AD2A9B4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I travi lunghi misuravano m. 2,50 e i corti m. 2; spessore del legno 0,15 circa.</w:t>
            </w:r>
          </w:p>
          <w:p w14:paraId="0EC52BD5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Lo scheletro misurava in altezza 1,67 e le ossa erano abbastanza appariscenti, ma al momento di raccoglierle andarono in polvere, poiché marcite e corrose dalla calce.</w:t>
            </w:r>
          </w:p>
          <w:p w14:paraId="3D2F4679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Descrizione delle suppellettili</w:t>
            </w:r>
          </w:p>
          <w:p w14:paraId="59AF5D5B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A destra del cranio (nell’angolo ovest della tomba) erano:</w:t>
            </w:r>
          </w:p>
          <w:p w14:paraId="379D5E40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1 anfora puntuta grezza, liscia, piantata ritta nella sabbia.</w:t>
            </w:r>
          </w:p>
          <w:p w14:paraId="2B359032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È frammentata in un’ansa, una restaurabile.</w:t>
            </w:r>
          </w:p>
          <w:p w14:paraId="40E9AAED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3669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3669A">
              <w:rPr>
                <w:rFonts w:ascii="Titillium Web" w:hAnsi="Titillium Web"/>
                <w:i/>
                <w:iCs/>
                <w:szCs w:val="24"/>
              </w:rPr>
              <w:t xml:space="preserve"> crateri a campana a figure su fondo rosso risparmiato; di disegno strapazzato e con lievi tracce di bianco sovradipinto sulle figure.</w:t>
            </w:r>
          </w:p>
          <w:p w14:paraId="5F4F1AFD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Il cratere posto più a sud, è quasi intero poiché frammentario soltanto nelle anse e nell’orlo.</w:t>
            </w:r>
          </w:p>
          <w:p w14:paraId="78CB5464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lastRenderedPageBreak/>
              <w:t>La scena figurata è coperta da una concrezione di sabbia e calce.</w:t>
            </w:r>
          </w:p>
          <w:p w14:paraId="2B718387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Attraverso la concrezione si vede una figura di cavaliere sul cavallo, volto verso destra, che combatte contro altra figura che non si discerne bene ma sembra a piedi (alto 0,34). L’altro cratere è in molti frammenti ma restaurabile per intero. è uguale al precedente per forma, per misura, ma la scena figurata è diversa.</w:t>
            </w:r>
          </w:p>
          <w:p w14:paraId="3CCFADFB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In un frammento della scena (del diritto) si vede una donna con tunica dipinta di bianco, montata sulla groppa di un toro che si precipita verso destra, a des. e a sin. del toro altre figure che in frammenti e coperte da concrezioni non si possono discernere per bene.</w:t>
            </w:r>
          </w:p>
          <w:p w14:paraId="06524B28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Fra i due crateri e l’anfora puntuta erano:</w:t>
            </w:r>
          </w:p>
          <w:p w14:paraId="1E19F043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53669A">
              <w:rPr>
                <w:rFonts w:ascii="Titillium Web" w:hAnsi="Titillium Web"/>
                <w:i/>
                <w:iCs/>
                <w:szCs w:val="24"/>
              </w:rPr>
              <w:t>candelabro ?</w:t>
            </w:r>
            <w:proofErr w:type="gramEnd"/>
            <w:r w:rsidRPr="0053669A">
              <w:rPr>
                <w:rFonts w:ascii="Titillium Web" w:hAnsi="Titillium Web"/>
                <w:i/>
                <w:iCs/>
                <w:szCs w:val="24"/>
              </w:rPr>
              <w:t xml:space="preserve"> si vede anche dalla fotografia o stelo di ferro verticale appoggiato fra i vasi e imbottito con sabbia e calce perché non crolli (l’imbottitura non si creda che fu fatta ad arte dagli scavatori, ma era naturale).</w:t>
            </w:r>
          </w:p>
          <w:p w14:paraId="6422ECB1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Lo scheletro era posto presso la parete lunga di nord-est (a des. di chi guarda).</w:t>
            </w:r>
          </w:p>
          <w:p w14:paraId="2ADF1E8A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Presso la parte des. del cranio aveva:</w:t>
            </w:r>
          </w:p>
          <w:p w14:paraId="4CA35E9C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1 oggetto di ferro, sformato dall’ossido, che sembrò avere una forma ricurva come di falcetto e che al momenti di raccoglierlo andò in pezzi.</w:t>
            </w:r>
          </w:p>
          <w:p w14:paraId="327175A4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Sullo scheletro erano deposti dei vasi. Sul ventre era:</w:t>
            </w:r>
          </w:p>
          <w:p w14:paraId="45BAEECB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1 anforina a forma di fiasca, con bocca assai larga e con il ventre rotondo tutto decorato di linee in rilievo, verticali (costolature). Ha il piede a listello; è a vern. nera, scadente. Sul collo è decorata da graffiti incisi all’inizio, di tralci vegetali. è in pezzi ma restaurabile.</w:t>
            </w:r>
          </w:p>
          <w:p w14:paraId="2F67AFE6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1 coperchietto (del vaso precedente) intero, di argilla verniciata in nero (come il vaso) si rinviene entro una</w:t>
            </w:r>
          </w:p>
          <w:p w14:paraId="37D3CF57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1 tazza comune, a vern. nera scadente che era posta fra le gambe dello scheletro.</w:t>
            </w:r>
          </w:p>
          <w:p w14:paraId="53C60CB4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Nel centro della tomba (un po’ a levante presso la gamba destra dello scheletro) erano in gruppo la massa dei fittili seguenti:</w:t>
            </w:r>
          </w:p>
          <w:p w14:paraId="6FE235E5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 xml:space="preserve">1 lekane piuttosto grande, di argilla giallastra, la tazza è intera ed il coperchio è in frammenti ma restaurabile. Sul coperchio </w:t>
            </w:r>
            <w:r w:rsidRPr="0053669A">
              <w:rPr>
                <w:rFonts w:ascii="Titillium Web" w:hAnsi="Titillium Web"/>
                <w:i/>
                <w:iCs/>
                <w:szCs w:val="24"/>
              </w:rPr>
              <w:lastRenderedPageBreak/>
              <w:t>sono dipinti (in tinta bruno scura) grifi di disegno affrettato. La tazza è decorata con pennellate di tinta bruno-scura, scadente, spirali al coperchio.</w:t>
            </w:r>
          </w:p>
          <w:p w14:paraId="543A9098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2 cotilai a piede stretto e a forma emisferica, a vern. nera scadente. Uno è intero, l’altro ha un’ansa staccata. Uno era presso la gamba dello scheletro e l’altro presso il limite est della tomba.</w:t>
            </w:r>
          </w:p>
          <w:p w14:paraId="65CA018A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1 vasetto (nappo) a forma di skyphos con due anse ad orecchio, molto sviluppate: è a vern. nera scadente e intero: alto 0,12, largo fra le anse 0,215. Nel fondello conserva una sigla grafita.</w:t>
            </w:r>
          </w:p>
          <w:p w14:paraId="11AA01AC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3 scodelle grandi, con piede a listello, a vernice nera, scadente e con palmette impresse nell’interno (2 intere e una frammentata)</w:t>
            </w:r>
          </w:p>
          <w:p w14:paraId="420EE499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3669A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53669A">
              <w:rPr>
                <w:rFonts w:ascii="Titillium Web" w:hAnsi="Titillium Web"/>
                <w:i/>
                <w:iCs/>
                <w:szCs w:val="24"/>
              </w:rPr>
              <w:t xml:space="preserve"> tazzette più piccole, eguali in fattura alle precedenti (ma in frammenti)</w:t>
            </w:r>
          </w:p>
          <w:p w14:paraId="50649580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2 piattellini di argilla cenerognola con riflessi metallici, grezzi, interi</w:t>
            </w:r>
          </w:p>
          <w:p w14:paraId="3DC83A20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1 altra anforina eguale a quella già precedentemente descritta (con costolature verticali in rilievo); si rinvenne in frammenti presso l’angolo sud-est della tomba, con il suo</w:t>
            </w:r>
          </w:p>
          <w:p w14:paraId="456AA34F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1 coperchio in frammenti.</w:t>
            </w:r>
          </w:p>
          <w:p w14:paraId="2707E4B1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Questa tomba è uno degli esempi già tipici dei sepolcri dell’ultimo periodo etrusco nella Valle Trebba, sia per la qualità che per la quantità delle suppellettili e la loro distribuzione nella tomba.</w:t>
            </w:r>
          </w:p>
          <w:p w14:paraId="74DD2FB7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Il materiale nella sua quasi totalità è abbastanza ben conservato.</w:t>
            </w:r>
          </w:p>
          <w:p w14:paraId="647C8261" w14:textId="77777777" w:rsidR="00496284" w:rsidRPr="0053669A" w:rsidRDefault="006C36A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669A">
              <w:rPr>
                <w:rFonts w:ascii="Titillium Web" w:hAnsi="Titillium Web"/>
                <w:i/>
                <w:iCs/>
                <w:szCs w:val="24"/>
              </w:rPr>
              <w:t>Per tutta l’area della tomba, sotto i vasi e sotto lo scheletro si rinvennero le tracce del legno della cassa (fondo).</w:t>
            </w:r>
          </w:p>
        </w:tc>
      </w:tr>
      <w:tr w:rsidR="0086297F" w:rsidRPr="0053669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3669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669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669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3669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53669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3669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7A2A9AB" w14:textId="3A9F522D" w:rsidR="00496284" w:rsidRPr="0053669A" w:rsidRDefault="0053669A" w:rsidP="0053669A">
            <w:pPr>
              <w:jc w:val="center"/>
              <w:rPr>
                <w:rFonts w:ascii="Titillium Web" w:hAnsi="Titillium Web"/>
                <w:szCs w:val="24"/>
              </w:rPr>
            </w:pPr>
            <w:r w:rsidRPr="0053669A">
              <w:rPr>
                <w:rFonts w:ascii="Titillium Web" w:hAnsi="Titillium Web"/>
                <w:smallCaps/>
                <w:szCs w:val="24"/>
              </w:rPr>
              <w:t>Felletti-Maj</w:t>
            </w:r>
            <w:r w:rsidRPr="0053669A">
              <w:rPr>
                <w:rFonts w:ascii="Titillium Web" w:hAnsi="Titillium Web"/>
                <w:szCs w:val="24"/>
              </w:rPr>
              <w:t xml:space="preserve"> 1940, p. 340; </w:t>
            </w:r>
            <w:r>
              <w:rPr>
                <w:rFonts w:ascii="Titillium Web" w:hAnsi="Titillium Web"/>
                <w:szCs w:val="24"/>
              </w:rPr>
              <w:t>S</w:t>
            </w:r>
            <w:r w:rsidRPr="0053669A">
              <w:rPr>
                <w:rFonts w:ascii="Titillium Web" w:hAnsi="Titillium Web"/>
                <w:smallCaps/>
                <w:szCs w:val="24"/>
              </w:rPr>
              <w:t>erra</w:t>
            </w:r>
            <w:r w:rsidRPr="0053669A">
              <w:rPr>
                <w:rFonts w:ascii="Titillium Web" w:hAnsi="Titillium Web"/>
                <w:szCs w:val="24"/>
              </w:rPr>
              <w:t xml:space="preserve"> 2016-2017; </w:t>
            </w:r>
            <w:r w:rsidRPr="0053669A">
              <w:rPr>
                <w:rFonts w:ascii="Titillium Web" w:hAnsi="Titillium Web"/>
                <w:smallCaps/>
                <w:szCs w:val="24"/>
              </w:rPr>
              <w:t>Baldoni</w:t>
            </w:r>
            <w:r w:rsidRPr="0053669A">
              <w:rPr>
                <w:rFonts w:ascii="Titillium Web" w:hAnsi="Titillium Web"/>
                <w:szCs w:val="24"/>
              </w:rPr>
              <w:t xml:space="preserve"> in </w:t>
            </w:r>
            <w:r w:rsidRPr="0053669A">
              <w:rPr>
                <w:rFonts w:ascii="Titillium Web" w:hAnsi="Titillium Web"/>
                <w:smallCaps/>
                <w:szCs w:val="24"/>
              </w:rPr>
              <w:t>Spina</w:t>
            </w:r>
            <w:r w:rsidRPr="0053669A">
              <w:rPr>
                <w:rFonts w:ascii="Titillium Web" w:hAnsi="Titillium Web"/>
                <w:szCs w:val="24"/>
              </w:rPr>
              <w:t xml:space="preserve"> 2023, p. 297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38D7"/>
    <w:rsid w:val="00472AF4"/>
    <w:rsid w:val="00496284"/>
    <w:rsid w:val="0053669A"/>
    <w:rsid w:val="00551AF8"/>
    <w:rsid w:val="005B5AFF"/>
    <w:rsid w:val="006162A4"/>
    <w:rsid w:val="006346F7"/>
    <w:rsid w:val="006D6EFB"/>
    <w:rsid w:val="007145BC"/>
    <w:rsid w:val="0086297F"/>
    <w:rsid w:val="008F085D"/>
    <w:rsid w:val="009E4922"/>
    <w:rsid w:val="00AB321D"/>
    <w:rsid w:val="00B165C4"/>
    <w:rsid w:val="00C21EE0"/>
    <w:rsid w:val="00D60CE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2026-05-18T14:39:00Z</dcterms:modified>
</cp:coreProperties>
</file>