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31983F39" w:rsidR="0086297F" w:rsidRPr="0062339D" w:rsidRDefault="0086297F" w:rsidP="0086297F">
      <w:pPr>
        <w:jc w:val="center"/>
        <w:rPr>
          <w:rFonts w:ascii="Titillium Web" w:hAnsi="Titillium Web"/>
          <w:b/>
          <w:bCs/>
          <w:sz w:val="28"/>
          <w:szCs w:val="24"/>
        </w:rPr>
      </w:pPr>
      <w:r w:rsidRPr="0062339D">
        <w:rPr>
          <w:rFonts w:ascii="Titillium Web" w:hAnsi="Titillium Web"/>
          <w:b/>
          <w:bCs/>
          <w:sz w:val="28"/>
          <w:szCs w:val="24"/>
        </w:rPr>
        <w:t xml:space="preserve">Valle Trebba – Tomba </w:t>
      </w:r>
      <w:r w:rsidR="006346F7" w:rsidRPr="0062339D">
        <w:rPr>
          <w:rFonts w:ascii="Titillium Web" w:hAnsi="Titillium Web"/>
          <w:b/>
          <w:bCs/>
          <w:sz w:val="28"/>
          <w:szCs w:val="24"/>
        </w:rPr>
        <w:t>1211</w:t>
      </w:r>
    </w:p>
    <w:tbl>
      <w:tblPr>
        <w:tblStyle w:val="Grigliatabella"/>
        <w:tblW w:w="5000" w:type="pct"/>
        <w:jc w:val="center"/>
        <w:tblLook w:val="04A0" w:firstRow="1" w:lastRow="0" w:firstColumn="1" w:lastColumn="0" w:noHBand="0" w:noVBand="1"/>
      </w:tblPr>
      <w:tblGrid>
        <w:gridCol w:w="2990"/>
        <w:gridCol w:w="6070"/>
      </w:tblGrid>
      <w:tr w:rsidR="0086297F" w:rsidRPr="0062339D" w14:paraId="69604347" w14:textId="77777777" w:rsidTr="002665C6">
        <w:trPr>
          <w:jc w:val="center"/>
        </w:trPr>
        <w:tc>
          <w:tcPr>
            <w:tcW w:w="1650" w:type="pct"/>
            <w:vAlign w:val="center"/>
          </w:tcPr>
          <w:p w14:paraId="59258D49"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Anno di rinvenimento</w:t>
            </w:r>
          </w:p>
        </w:tc>
        <w:tc>
          <w:tcPr>
            <w:tcW w:w="3350" w:type="pct"/>
            <w:vAlign w:val="center"/>
          </w:tcPr>
          <w:p w14:paraId="10AA1E7C" w14:textId="59BFE2EE" w:rsidR="0086297F" w:rsidRPr="0062339D" w:rsidRDefault="0086297F" w:rsidP="002665C6">
            <w:pPr>
              <w:jc w:val="center"/>
              <w:rPr>
                <w:rFonts w:ascii="Titillium Web" w:hAnsi="Titillium Web"/>
                <w:szCs w:val="24"/>
              </w:rPr>
            </w:pPr>
            <w:r w:rsidRPr="0062339D">
              <w:rPr>
                <w:rFonts w:ascii="Titillium Web" w:hAnsi="Titillium Web"/>
                <w:szCs w:val="24"/>
              </w:rPr>
              <w:t>1935</w:t>
            </w:r>
          </w:p>
        </w:tc>
      </w:tr>
      <w:tr w:rsidR="0086297F" w:rsidRPr="0062339D" w14:paraId="3B6B9C62" w14:textId="77777777" w:rsidTr="002665C6">
        <w:trPr>
          <w:jc w:val="center"/>
        </w:trPr>
        <w:tc>
          <w:tcPr>
            <w:tcW w:w="1650" w:type="pct"/>
            <w:vAlign w:val="center"/>
          </w:tcPr>
          <w:p w14:paraId="2D01D888"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Stato di conservazione della tomba</w:t>
            </w:r>
          </w:p>
        </w:tc>
        <w:tc>
          <w:tcPr>
            <w:tcW w:w="3350" w:type="pct"/>
            <w:vAlign w:val="center"/>
          </w:tcPr>
          <w:p w14:paraId="3ADC95CD" w14:textId="31719CCD" w:rsidR="0086297F" w:rsidRPr="0062339D" w:rsidRDefault="0086297F" w:rsidP="002665C6">
            <w:pPr>
              <w:jc w:val="center"/>
              <w:rPr>
                <w:rFonts w:ascii="Titillium Web" w:hAnsi="Titillium Web"/>
                <w:szCs w:val="24"/>
              </w:rPr>
            </w:pPr>
            <w:r w:rsidRPr="0062339D">
              <w:rPr>
                <w:rFonts w:ascii="Titillium Web" w:hAnsi="Titillium Web"/>
                <w:szCs w:val="24"/>
              </w:rPr>
              <w:t>Intatta</w:t>
            </w:r>
          </w:p>
        </w:tc>
      </w:tr>
      <w:tr w:rsidR="0086297F" w:rsidRPr="0062339D" w14:paraId="3D165E1E" w14:textId="77777777" w:rsidTr="002665C6">
        <w:trPr>
          <w:jc w:val="center"/>
        </w:trPr>
        <w:tc>
          <w:tcPr>
            <w:tcW w:w="1650" w:type="pct"/>
            <w:vAlign w:val="center"/>
          </w:tcPr>
          <w:p w14:paraId="2A5B3D4F"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Rito di seppellimento</w:t>
            </w:r>
          </w:p>
        </w:tc>
        <w:tc>
          <w:tcPr>
            <w:tcW w:w="3350" w:type="pct"/>
            <w:vAlign w:val="center"/>
          </w:tcPr>
          <w:p w14:paraId="094BD426" w14:textId="6E99443A" w:rsidR="0086297F" w:rsidRPr="0062339D" w:rsidRDefault="0086297F" w:rsidP="002665C6">
            <w:pPr>
              <w:jc w:val="center"/>
              <w:rPr>
                <w:rFonts w:ascii="Titillium Web" w:hAnsi="Titillium Web"/>
                <w:szCs w:val="24"/>
              </w:rPr>
            </w:pPr>
            <w:r w:rsidRPr="0062339D">
              <w:rPr>
                <w:rFonts w:ascii="Titillium Web" w:hAnsi="Titillium Web"/>
                <w:szCs w:val="24"/>
              </w:rPr>
              <w:t>Inumazione</w:t>
            </w:r>
          </w:p>
        </w:tc>
      </w:tr>
      <w:tr w:rsidR="0086297F" w:rsidRPr="0062339D" w14:paraId="44CADBCB" w14:textId="77777777" w:rsidTr="002665C6">
        <w:trPr>
          <w:jc w:val="center"/>
        </w:trPr>
        <w:tc>
          <w:tcPr>
            <w:tcW w:w="1650" w:type="pct"/>
            <w:vAlign w:val="center"/>
          </w:tcPr>
          <w:p w14:paraId="1E25741A"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Struttura tomba</w:t>
            </w:r>
          </w:p>
        </w:tc>
        <w:tc>
          <w:tcPr>
            <w:tcW w:w="3350" w:type="pct"/>
            <w:vAlign w:val="center"/>
          </w:tcPr>
          <w:p w14:paraId="1DE3BCB3" w14:textId="08DB6A85" w:rsidR="0086297F" w:rsidRPr="0062339D" w:rsidRDefault="0086297F" w:rsidP="002665C6">
            <w:pPr>
              <w:jc w:val="center"/>
              <w:rPr>
                <w:rFonts w:ascii="Titillium Web" w:hAnsi="Titillium Web"/>
                <w:szCs w:val="24"/>
              </w:rPr>
            </w:pPr>
            <w:r w:rsidRPr="0062339D">
              <w:rPr>
                <w:rFonts w:ascii="Titillium Web" w:hAnsi="Titillium Web"/>
                <w:szCs w:val="24"/>
              </w:rPr>
              <w:t>fossa semplice, forma non registrata</w:t>
            </w:r>
          </w:p>
        </w:tc>
      </w:tr>
      <w:tr w:rsidR="0086297F" w:rsidRPr="0062339D" w14:paraId="47E1F943" w14:textId="77777777" w:rsidTr="002665C6">
        <w:trPr>
          <w:jc w:val="center"/>
        </w:trPr>
        <w:tc>
          <w:tcPr>
            <w:tcW w:w="1650" w:type="pct"/>
            <w:vAlign w:val="center"/>
          </w:tcPr>
          <w:p w14:paraId="355EE080"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 xml:space="preserve">Profondità dal piano di campagna </w:t>
            </w:r>
          </w:p>
        </w:tc>
        <w:tc>
          <w:tcPr>
            <w:tcW w:w="3350" w:type="pct"/>
            <w:vAlign w:val="center"/>
          </w:tcPr>
          <w:p w14:paraId="13D75B9B" w14:textId="1D9A846D" w:rsidR="0086297F" w:rsidRPr="0062339D" w:rsidRDefault="0086297F" w:rsidP="002665C6">
            <w:pPr>
              <w:jc w:val="center"/>
              <w:rPr>
                <w:rFonts w:ascii="Titillium Web" w:hAnsi="Titillium Web"/>
                <w:szCs w:val="24"/>
              </w:rPr>
            </w:pPr>
            <w:r w:rsidRPr="0062339D">
              <w:rPr>
                <w:rFonts w:ascii="Titillium Web" w:hAnsi="Titillium Web"/>
                <w:szCs w:val="24"/>
              </w:rPr>
              <w:t>1</w:t>
            </w:r>
            <w:r w:rsidR="0062339D" w:rsidRPr="0062339D">
              <w:rPr>
                <w:rFonts w:ascii="Titillium Web" w:hAnsi="Titillium Web"/>
                <w:szCs w:val="24"/>
              </w:rPr>
              <w:t>,0</w:t>
            </w:r>
            <w:r w:rsidRPr="0062339D">
              <w:rPr>
                <w:rFonts w:ascii="Titillium Web" w:hAnsi="Titillium Web"/>
                <w:szCs w:val="24"/>
              </w:rPr>
              <w:t xml:space="preserve"> m</w:t>
            </w:r>
          </w:p>
        </w:tc>
      </w:tr>
      <w:tr w:rsidR="0086297F" w:rsidRPr="0062339D" w14:paraId="75BC79FE" w14:textId="77777777" w:rsidTr="002665C6">
        <w:trPr>
          <w:jc w:val="center"/>
        </w:trPr>
        <w:tc>
          <w:tcPr>
            <w:tcW w:w="1650" w:type="pct"/>
            <w:vAlign w:val="center"/>
          </w:tcPr>
          <w:p w14:paraId="432462C5"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Dimensioni della sepoltura</w:t>
            </w:r>
          </w:p>
        </w:tc>
        <w:tc>
          <w:tcPr>
            <w:tcW w:w="3350" w:type="pct"/>
            <w:vAlign w:val="center"/>
          </w:tcPr>
          <w:p w14:paraId="65EDFAD4" w14:textId="5859930D" w:rsidR="0086297F" w:rsidRPr="0062339D" w:rsidRDefault="0086297F" w:rsidP="002665C6">
            <w:pPr>
              <w:jc w:val="center"/>
              <w:rPr>
                <w:rFonts w:ascii="Titillium Web" w:hAnsi="Titillium Web"/>
                <w:szCs w:val="24"/>
              </w:rPr>
            </w:pPr>
            <w:r w:rsidRPr="0062339D">
              <w:rPr>
                <w:rFonts w:ascii="Titillium Web" w:hAnsi="Titillium Web"/>
                <w:szCs w:val="24"/>
              </w:rPr>
              <w:t>Dimensioni non registrate</w:t>
            </w:r>
          </w:p>
        </w:tc>
      </w:tr>
      <w:tr w:rsidR="0086297F" w:rsidRPr="0062339D" w14:paraId="35E5C09E" w14:textId="77777777" w:rsidTr="002665C6">
        <w:trPr>
          <w:jc w:val="center"/>
        </w:trPr>
        <w:tc>
          <w:tcPr>
            <w:tcW w:w="1650" w:type="pct"/>
            <w:vAlign w:val="center"/>
          </w:tcPr>
          <w:p w14:paraId="5AA10374"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Orientamento dello scheletro</w:t>
            </w:r>
          </w:p>
        </w:tc>
        <w:tc>
          <w:tcPr>
            <w:tcW w:w="3350" w:type="pct"/>
            <w:vAlign w:val="center"/>
          </w:tcPr>
          <w:p w14:paraId="6E0E4E7B" w14:textId="7F6B3E0C" w:rsidR="0086297F" w:rsidRPr="0062339D" w:rsidRDefault="0086297F" w:rsidP="002665C6">
            <w:pPr>
              <w:jc w:val="center"/>
              <w:rPr>
                <w:rFonts w:ascii="Titillium Web" w:hAnsi="Titillium Web"/>
                <w:szCs w:val="24"/>
              </w:rPr>
            </w:pPr>
            <w:r w:rsidRPr="0062339D">
              <w:rPr>
                <w:rFonts w:ascii="Titillium Web" w:hAnsi="Titillium Web"/>
                <w:szCs w:val="24"/>
              </w:rPr>
              <w:t>NW-SE</w:t>
            </w:r>
          </w:p>
        </w:tc>
      </w:tr>
      <w:tr w:rsidR="0086297F" w:rsidRPr="0062339D" w14:paraId="71236441" w14:textId="77777777" w:rsidTr="002665C6">
        <w:trPr>
          <w:jc w:val="center"/>
        </w:trPr>
        <w:tc>
          <w:tcPr>
            <w:tcW w:w="1650" w:type="pct"/>
            <w:vAlign w:val="center"/>
          </w:tcPr>
          <w:p w14:paraId="4A1B31A8"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Segnacolo</w:t>
            </w:r>
          </w:p>
        </w:tc>
        <w:tc>
          <w:tcPr>
            <w:tcW w:w="3350" w:type="pct"/>
            <w:vAlign w:val="center"/>
          </w:tcPr>
          <w:p w14:paraId="104CE615" w14:textId="50385AE1" w:rsidR="0086297F" w:rsidRPr="0062339D" w:rsidRDefault="0086297F" w:rsidP="002665C6">
            <w:pPr>
              <w:jc w:val="center"/>
              <w:rPr>
                <w:rFonts w:ascii="Titillium Web" w:hAnsi="Titillium Web"/>
                <w:szCs w:val="24"/>
              </w:rPr>
            </w:pPr>
            <w:r w:rsidRPr="0062339D">
              <w:rPr>
                <w:rFonts w:ascii="Titillium Web" w:hAnsi="Titillium Web"/>
                <w:szCs w:val="24"/>
              </w:rPr>
              <w:t>/</w:t>
            </w:r>
          </w:p>
        </w:tc>
      </w:tr>
      <w:tr w:rsidR="0086297F" w:rsidRPr="0062339D" w14:paraId="6D6CBA71" w14:textId="77777777" w:rsidTr="002665C6">
        <w:trPr>
          <w:jc w:val="center"/>
        </w:trPr>
        <w:tc>
          <w:tcPr>
            <w:tcW w:w="1650" w:type="pct"/>
            <w:vAlign w:val="center"/>
          </w:tcPr>
          <w:p w14:paraId="75CA0D64"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Giornale di scavo</w:t>
            </w:r>
          </w:p>
        </w:tc>
        <w:tc>
          <w:tcPr>
            <w:tcW w:w="3350" w:type="pct"/>
            <w:vAlign w:val="center"/>
          </w:tcPr>
          <w:p w14:paraId="3306043E" w14:textId="77777777" w:rsidR="001434C5" w:rsidRPr="0062339D" w:rsidRDefault="00AD6E92">
            <w:pPr>
              <w:rPr>
                <w:rFonts w:ascii="Titillium Web" w:hAnsi="Titillium Web"/>
                <w:i/>
                <w:iCs/>
                <w:szCs w:val="24"/>
              </w:rPr>
            </w:pPr>
            <w:r w:rsidRPr="0062339D">
              <w:rPr>
                <w:rFonts w:ascii="Titillium Web" w:hAnsi="Titillium Web"/>
                <w:i/>
                <w:iCs/>
                <w:szCs w:val="24"/>
              </w:rPr>
              <w:t>Tomba 1211 a umazione.</w:t>
            </w:r>
          </w:p>
          <w:p w14:paraId="08DD8290" w14:textId="77777777" w:rsidR="001434C5" w:rsidRPr="0062339D" w:rsidRDefault="00AD6E92">
            <w:pPr>
              <w:rPr>
                <w:rFonts w:ascii="Titillium Web" w:hAnsi="Titillium Web"/>
                <w:i/>
                <w:iCs/>
                <w:szCs w:val="24"/>
              </w:rPr>
            </w:pPr>
            <w:r w:rsidRPr="0062339D">
              <w:rPr>
                <w:rFonts w:ascii="Titillium Web" w:hAnsi="Titillium Web"/>
                <w:i/>
                <w:iCs/>
                <w:szCs w:val="24"/>
              </w:rPr>
              <w:t>fotografia.</w:t>
            </w:r>
          </w:p>
          <w:p w14:paraId="34E67F18" w14:textId="77777777" w:rsidR="001434C5" w:rsidRPr="0062339D" w:rsidRDefault="00AD6E92">
            <w:pPr>
              <w:rPr>
                <w:rFonts w:ascii="Titillium Web" w:hAnsi="Titillium Web"/>
                <w:i/>
                <w:iCs/>
                <w:szCs w:val="24"/>
              </w:rPr>
            </w:pPr>
            <w:r w:rsidRPr="0062339D">
              <w:rPr>
                <w:rFonts w:ascii="Titillium Web" w:hAnsi="Titillium Web"/>
                <w:i/>
                <w:iCs/>
                <w:szCs w:val="24"/>
              </w:rPr>
              <w:t>A m. 82,70 a sud del Donna Bianca, a m. 59,40 dalla poderale e a m. 1,00 di profondità poggiava una tomba a umazione.</w:t>
            </w:r>
          </w:p>
          <w:p w14:paraId="09A678B7" w14:textId="77777777" w:rsidR="001434C5" w:rsidRPr="0062339D" w:rsidRDefault="00AD6E92">
            <w:pPr>
              <w:rPr>
                <w:rFonts w:ascii="Titillium Web" w:hAnsi="Titillium Web"/>
                <w:i/>
                <w:iCs/>
                <w:szCs w:val="24"/>
              </w:rPr>
            </w:pPr>
            <w:r w:rsidRPr="0062339D">
              <w:rPr>
                <w:rFonts w:ascii="Titillium Web" w:hAnsi="Titillium Web"/>
                <w:i/>
                <w:iCs/>
                <w:szCs w:val="24"/>
              </w:rPr>
              <w:t>Lo scheletro è orientato da nord-ovest a sud-est: il cranio è scivolato a destra del corpo, presso la spalla, e la mascella inferiore è rimasta al suo posto.</w:t>
            </w:r>
          </w:p>
          <w:p w14:paraId="5271B269" w14:textId="77777777" w:rsidR="001434C5" w:rsidRPr="0062339D" w:rsidRDefault="00AD6E92">
            <w:pPr>
              <w:rPr>
                <w:rFonts w:ascii="Titillium Web" w:hAnsi="Titillium Web"/>
                <w:i/>
                <w:iCs/>
                <w:szCs w:val="24"/>
              </w:rPr>
            </w:pPr>
            <w:r w:rsidRPr="0062339D">
              <w:rPr>
                <w:rFonts w:ascii="Titillium Web" w:hAnsi="Titillium Web"/>
                <w:i/>
                <w:iCs/>
                <w:szCs w:val="24"/>
              </w:rPr>
              <w:t>Sul corpo dello scheletro, fra le due spalle</w:t>
            </w:r>
          </w:p>
          <w:p w14:paraId="6ED64D3E" w14:textId="77777777" w:rsidR="001434C5" w:rsidRPr="0062339D" w:rsidRDefault="00AD6E92">
            <w:pPr>
              <w:rPr>
                <w:rFonts w:ascii="Titillium Web" w:hAnsi="Titillium Web"/>
                <w:i/>
                <w:iCs/>
                <w:szCs w:val="24"/>
              </w:rPr>
            </w:pPr>
            <w:r w:rsidRPr="0062339D">
              <w:rPr>
                <w:rFonts w:ascii="Titillium Web" w:hAnsi="Titillium Web"/>
                <w:i/>
                <w:iCs/>
                <w:szCs w:val="24"/>
              </w:rPr>
              <w:t>1 oggetto di ferro a forma ricurva, che non si può riconoscere causa la massa enorme dell’ossido che lo ha sformato. Al momento di raccoglierlo è andato in pezzi.</w:t>
            </w:r>
          </w:p>
          <w:p w14:paraId="2E5E4154" w14:textId="77777777" w:rsidR="001434C5" w:rsidRPr="0062339D" w:rsidRDefault="00AD6E92">
            <w:pPr>
              <w:rPr>
                <w:rFonts w:ascii="Titillium Web" w:hAnsi="Titillium Web"/>
                <w:i/>
                <w:iCs/>
                <w:szCs w:val="24"/>
              </w:rPr>
            </w:pPr>
            <w:r w:rsidRPr="0062339D">
              <w:rPr>
                <w:rFonts w:ascii="Titillium Web" w:hAnsi="Titillium Web"/>
                <w:i/>
                <w:iCs/>
                <w:szCs w:val="24"/>
              </w:rPr>
              <w:t>Lo scheletro misura 1,58 m di altezza (calcolando il cranio al suo posto sopra la mandibola inferiore ancora in situ). le suppellettili sono disposte su di una linea orientata come lo scheletro, ma non posso fare nessun apprezzamento della posizione che occupavano, poiché gli operai, nel lavoro, hanno un po’ sconvolto gli oggetti mentre che io ero intento nello scavo della tomba 1210.</w:t>
            </w:r>
          </w:p>
          <w:p w14:paraId="70FD0C74" w14:textId="77777777" w:rsidR="001434C5" w:rsidRPr="0062339D" w:rsidRDefault="00AD6E92">
            <w:pPr>
              <w:rPr>
                <w:rFonts w:ascii="Titillium Web" w:hAnsi="Titillium Web"/>
                <w:i/>
                <w:iCs/>
                <w:szCs w:val="24"/>
              </w:rPr>
            </w:pPr>
            <w:r w:rsidRPr="0062339D">
              <w:rPr>
                <w:rFonts w:ascii="Titillium Web" w:hAnsi="Titillium Web"/>
                <w:i/>
                <w:iCs/>
                <w:szCs w:val="24"/>
              </w:rPr>
              <w:t>Fra gli oggetti rinvenuti</w:t>
            </w:r>
          </w:p>
          <w:p w14:paraId="36D3AF49" w14:textId="77777777" w:rsidR="001434C5" w:rsidRPr="0062339D" w:rsidRDefault="00AD6E92">
            <w:pPr>
              <w:rPr>
                <w:rFonts w:ascii="Titillium Web" w:hAnsi="Titillium Web"/>
                <w:i/>
                <w:iCs/>
                <w:szCs w:val="24"/>
              </w:rPr>
            </w:pPr>
            <w:proofErr w:type="gramStart"/>
            <w:r w:rsidRPr="0062339D">
              <w:rPr>
                <w:rFonts w:ascii="Titillium Web" w:hAnsi="Titillium Web"/>
                <w:i/>
                <w:iCs/>
                <w:szCs w:val="24"/>
              </w:rPr>
              <w:t>2</w:t>
            </w:r>
            <w:proofErr w:type="gramEnd"/>
            <w:r w:rsidRPr="0062339D">
              <w:rPr>
                <w:rFonts w:ascii="Titillium Web" w:hAnsi="Titillium Web"/>
                <w:i/>
                <w:iCs/>
                <w:szCs w:val="24"/>
              </w:rPr>
              <w:t xml:space="preserve"> scodelle a vernice scadente (una intera e una in pezzi)</w:t>
            </w:r>
          </w:p>
          <w:p w14:paraId="71F841C8" w14:textId="77777777" w:rsidR="001434C5" w:rsidRPr="0062339D" w:rsidRDefault="00AD6E92">
            <w:pPr>
              <w:rPr>
                <w:rFonts w:ascii="Titillium Web" w:hAnsi="Titillium Web"/>
                <w:i/>
                <w:iCs/>
                <w:szCs w:val="24"/>
              </w:rPr>
            </w:pPr>
            <w:proofErr w:type="gramStart"/>
            <w:r w:rsidRPr="0062339D">
              <w:rPr>
                <w:rFonts w:ascii="Titillium Web" w:hAnsi="Titillium Web"/>
                <w:i/>
                <w:iCs/>
                <w:szCs w:val="24"/>
              </w:rPr>
              <w:t>2</w:t>
            </w:r>
            <w:proofErr w:type="gramEnd"/>
            <w:r w:rsidRPr="0062339D">
              <w:rPr>
                <w:rFonts w:ascii="Titillium Web" w:hAnsi="Titillium Web"/>
                <w:i/>
                <w:iCs/>
                <w:szCs w:val="24"/>
              </w:rPr>
              <w:t xml:space="preserve"> scodelle di argilla cenerognola, con impressioni di stellette nell’interno. Sono grezze e intere</w:t>
            </w:r>
          </w:p>
          <w:p w14:paraId="5C0093AF" w14:textId="77777777" w:rsidR="001434C5" w:rsidRPr="0062339D" w:rsidRDefault="00AD6E92">
            <w:pPr>
              <w:rPr>
                <w:rFonts w:ascii="Titillium Web" w:hAnsi="Titillium Web"/>
                <w:i/>
                <w:iCs/>
                <w:szCs w:val="24"/>
              </w:rPr>
            </w:pPr>
            <w:proofErr w:type="gramStart"/>
            <w:r w:rsidRPr="0062339D">
              <w:rPr>
                <w:rFonts w:ascii="Titillium Web" w:hAnsi="Titillium Web"/>
                <w:i/>
                <w:iCs/>
                <w:szCs w:val="24"/>
              </w:rPr>
              <w:t>4</w:t>
            </w:r>
            <w:proofErr w:type="gramEnd"/>
            <w:r w:rsidRPr="0062339D">
              <w:rPr>
                <w:rFonts w:ascii="Titillium Web" w:hAnsi="Titillium Web"/>
                <w:i/>
                <w:iCs/>
                <w:szCs w:val="24"/>
              </w:rPr>
              <w:t xml:space="preserve"> piattelli con pieduccio, di argilla cenerognola, lisci e grezzi (uno in frammenti)</w:t>
            </w:r>
          </w:p>
          <w:p w14:paraId="1D2E8E7F" w14:textId="77777777" w:rsidR="001434C5" w:rsidRPr="0062339D" w:rsidRDefault="00AD6E92">
            <w:pPr>
              <w:rPr>
                <w:rFonts w:ascii="Titillium Web" w:hAnsi="Titillium Web"/>
                <w:i/>
                <w:iCs/>
                <w:szCs w:val="24"/>
              </w:rPr>
            </w:pPr>
            <w:r w:rsidRPr="0062339D">
              <w:rPr>
                <w:rFonts w:ascii="Titillium Web" w:hAnsi="Titillium Web"/>
                <w:i/>
                <w:iCs/>
                <w:szCs w:val="24"/>
              </w:rPr>
              <w:lastRenderedPageBreak/>
              <w:t xml:space="preserve">1 cotile di argilla giallastra con disegni di spirali </w:t>
            </w:r>
            <w:proofErr w:type="gramStart"/>
            <w:r w:rsidRPr="0062339D">
              <w:rPr>
                <w:rFonts w:ascii="Titillium Web" w:hAnsi="Titillium Web"/>
                <w:i/>
                <w:iCs/>
                <w:szCs w:val="24"/>
              </w:rPr>
              <w:t>ecc..</w:t>
            </w:r>
            <w:proofErr w:type="gramEnd"/>
            <w:r w:rsidRPr="0062339D">
              <w:rPr>
                <w:rFonts w:ascii="Titillium Web" w:hAnsi="Titillium Web"/>
                <w:i/>
                <w:iCs/>
                <w:szCs w:val="24"/>
              </w:rPr>
              <w:t xml:space="preserve"> di tinta bruno scura, scadente. Se ne rinvennero pochi frammenti.</w:t>
            </w:r>
          </w:p>
          <w:p w14:paraId="1E1D6386" w14:textId="77777777" w:rsidR="001434C5" w:rsidRPr="0062339D" w:rsidRDefault="00AD6E92">
            <w:pPr>
              <w:rPr>
                <w:rFonts w:ascii="Titillium Web" w:hAnsi="Titillium Web"/>
                <w:i/>
                <w:iCs/>
                <w:szCs w:val="24"/>
              </w:rPr>
            </w:pPr>
            <w:r w:rsidRPr="0062339D">
              <w:rPr>
                <w:rFonts w:ascii="Titillium Web" w:hAnsi="Titillium Web"/>
                <w:i/>
                <w:iCs/>
                <w:szCs w:val="24"/>
              </w:rPr>
              <w:t>Furono raccolti i denti e i frammenti della mascella inferiore dello scheletro.</w:t>
            </w:r>
          </w:p>
          <w:p w14:paraId="687FC6CC" w14:textId="77777777" w:rsidR="001434C5" w:rsidRPr="0062339D" w:rsidRDefault="00AD6E92">
            <w:pPr>
              <w:rPr>
                <w:rFonts w:ascii="Titillium Web" w:hAnsi="Titillium Web"/>
                <w:i/>
                <w:iCs/>
                <w:szCs w:val="24"/>
              </w:rPr>
            </w:pPr>
            <w:r w:rsidRPr="0062339D">
              <w:rPr>
                <w:rFonts w:ascii="Titillium Web" w:hAnsi="Titillium Web"/>
                <w:i/>
                <w:iCs/>
                <w:szCs w:val="24"/>
              </w:rPr>
              <w:t>Furono raccolti anche i pezzi di ferro dell’oggetto che posava sul petto dello scheletro.</w:t>
            </w:r>
          </w:p>
          <w:p w14:paraId="08FA6604" w14:textId="77777777" w:rsidR="001434C5" w:rsidRPr="0062339D" w:rsidRDefault="00AD6E92">
            <w:pPr>
              <w:rPr>
                <w:rFonts w:ascii="Titillium Web" w:hAnsi="Titillium Web"/>
                <w:i/>
                <w:iCs/>
                <w:szCs w:val="24"/>
              </w:rPr>
            </w:pPr>
            <w:r w:rsidRPr="0062339D">
              <w:rPr>
                <w:rFonts w:ascii="Titillium Web" w:hAnsi="Titillium Web"/>
                <w:i/>
                <w:iCs/>
                <w:szCs w:val="24"/>
              </w:rPr>
              <w:t>Terminato lo scavo di questa tomba alle ore 21.</w:t>
            </w:r>
          </w:p>
        </w:tc>
      </w:tr>
      <w:tr w:rsidR="0086297F" w:rsidRPr="0062339D" w14:paraId="1429C2F3" w14:textId="77777777" w:rsidTr="002665C6">
        <w:trPr>
          <w:jc w:val="center"/>
        </w:trPr>
        <w:tc>
          <w:tcPr>
            <w:tcW w:w="1650" w:type="pct"/>
            <w:vAlign w:val="center"/>
          </w:tcPr>
          <w:p w14:paraId="7F398080"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lastRenderedPageBreak/>
              <w:t>Posizione del corredo</w:t>
            </w:r>
          </w:p>
        </w:tc>
        <w:tc>
          <w:tcPr>
            <w:tcW w:w="3350" w:type="pct"/>
            <w:vAlign w:val="center"/>
          </w:tcPr>
          <w:p w14:paraId="5C03ADA7" w14:textId="7BF3AD8D" w:rsidR="0086297F" w:rsidRPr="0062339D" w:rsidRDefault="0086297F" w:rsidP="002665C6">
            <w:pPr>
              <w:jc w:val="center"/>
              <w:rPr>
                <w:rFonts w:ascii="Titillium Web" w:hAnsi="Titillium Web"/>
                <w:szCs w:val="24"/>
              </w:rPr>
            </w:pPr>
            <w:r w:rsidRPr="0062339D">
              <w:rPr>
                <w:rFonts w:ascii="Titillium Web" w:hAnsi="Titillium Web"/>
                <w:szCs w:val="24"/>
              </w:rPr>
              <w:t>Fianco destro</w:t>
            </w:r>
          </w:p>
        </w:tc>
      </w:tr>
      <w:tr w:rsidR="0086297F" w:rsidRPr="0062339D" w14:paraId="71A0E4AF" w14:textId="77777777" w:rsidTr="002665C6">
        <w:trPr>
          <w:jc w:val="center"/>
        </w:trPr>
        <w:tc>
          <w:tcPr>
            <w:tcW w:w="1650" w:type="pct"/>
            <w:vAlign w:val="center"/>
          </w:tcPr>
          <w:p w14:paraId="2128B19B"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Genere (legato all’analisi del corredo)</w:t>
            </w:r>
          </w:p>
        </w:tc>
        <w:tc>
          <w:tcPr>
            <w:tcW w:w="3350" w:type="pct"/>
            <w:vAlign w:val="center"/>
          </w:tcPr>
          <w:p w14:paraId="31324C2B" w14:textId="4E55E405" w:rsidR="0086297F" w:rsidRPr="0062339D" w:rsidRDefault="0086297F" w:rsidP="002665C6">
            <w:pPr>
              <w:jc w:val="center"/>
              <w:rPr>
                <w:rFonts w:ascii="Titillium Web" w:hAnsi="Titillium Web"/>
                <w:szCs w:val="24"/>
              </w:rPr>
            </w:pPr>
            <w:r w:rsidRPr="0062339D">
              <w:rPr>
                <w:rFonts w:ascii="Titillium Web" w:hAnsi="Titillium Web"/>
                <w:szCs w:val="24"/>
              </w:rPr>
              <w:t>Non determinabile</w:t>
            </w:r>
          </w:p>
        </w:tc>
      </w:tr>
      <w:tr w:rsidR="0086297F" w:rsidRPr="0062339D" w14:paraId="17633947" w14:textId="77777777" w:rsidTr="002665C6">
        <w:trPr>
          <w:jc w:val="center"/>
        </w:trPr>
        <w:tc>
          <w:tcPr>
            <w:tcW w:w="1650" w:type="pct"/>
            <w:vAlign w:val="center"/>
          </w:tcPr>
          <w:p w14:paraId="44721053"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Sesso (legato alle analisi antropologiche)</w:t>
            </w:r>
          </w:p>
        </w:tc>
        <w:tc>
          <w:tcPr>
            <w:tcW w:w="3350" w:type="pct"/>
            <w:vAlign w:val="center"/>
          </w:tcPr>
          <w:p w14:paraId="66E918A4" w14:textId="50197FF0" w:rsidR="0086297F" w:rsidRPr="0062339D" w:rsidRDefault="0086297F" w:rsidP="002665C6">
            <w:pPr>
              <w:jc w:val="center"/>
              <w:rPr>
                <w:rFonts w:ascii="Titillium Web" w:hAnsi="Titillium Web"/>
                <w:szCs w:val="24"/>
              </w:rPr>
            </w:pPr>
            <w:r w:rsidRPr="0062339D">
              <w:rPr>
                <w:rFonts w:ascii="Titillium Web" w:hAnsi="Titillium Web"/>
                <w:szCs w:val="24"/>
              </w:rPr>
              <w:t>Non determinabile</w:t>
            </w:r>
          </w:p>
        </w:tc>
      </w:tr>
      <w:tr w:rsidR="0086297F" w:rsidRPr="0062339D" w14:paraId="0588946D" w14:textId="77777777" w:rsidTr="002665C6">
        <w:trPr>
          <w:jc w:val="center"/>
        </w:trPr>
        <w:tc>
          <w:tcPr>
            <w:tcW w:w="1650" w:type="pct"/>
            <w:vAlign w:val="center"/>
          </w:tcPr>
          <w:p w14:paraId="54990945"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Classi di età</w:t>
            </w:r>
          </w:p>
        </w:tc>
        <w:tc>
          <w:tcPr>
            <w:tcW w:w="3350" w:type="pct"/>
            <w:vAlign w:val="center"/>
          </w:tcPr>
          <w:p w14:paraId="0E0589EA" w14:textId="7D4DF825" w:rsidR="0086297F" w:rsidRPr="0062339D" w:rsidRDefault="0086297F" w:rsidP="002665C6">
            <w:pPr>
              <w:jc w:val="center"/>
              <w:rPr>
                <w:rFonts w:ascii="Titillium Web" w:hAnsi="Titillium Web"/>
                <w:szCs w:val="24"/>
              </w:rPr>
            </w:pPr>
            <w:r w:rsidRPr="0062339D">
              <w:rPr>
                <w:rFonts w:ascii="Titillium Web" w:hAnsi="Titillium Web"/>
                <w:szCs w:val="24"/>
              </w:rPr>
              <w:t>Adulto</w:t>
            </w:r>
          </w:p>
        </w:tc>
      </w:tr>
      <w:tr w:rsidR="0086297F" w:rsidRPr="0062339D" w14:paraId="1FFA88A1" w14:textId="77777777" w:rsidTr="002665C6">
        <w:trPr>
          <w:jc w:val="center"/>
        </w:trPr>
        <w:tc>
          <w:tcPr>
            <w:tcW w:w="1650" w:type="pct"/>
            <w:vAlign w:val="center"/>
          </w:tcPr>
          <w:p w14:paraId="63B2D8D6" w14:textId="77777777" w:rsidR="0086297F" w:rsidRPr="0062339D" w:rsidRDefault="0086297F" w:rsidP="002665C6">
            <w:pPr>
              <w:jc w:val="center"/>
              <w:rPr>
                <w:rFonts w:ascii="Titillium Web" w:hAnsi="Titillium Web"/>
                <w:smallCaps/>
                <w:szCs w:val="24"/>
              </w:rPr>
            </w:pPr>
            <w:r w:rsidRPr="0062339D">
              <w:rPr>
                <w:rFonts w:ascii="Titillium Web" w:hAnsi="Titillium Web"/>
                <w:smallCaps/>
                <w:szCs w:val="24"/>
              </w:rPr>
              <w:t>Bibliografia essenziale</w:t>
            </w:r>
          </w:p>
        </w:tc>
        <w:tc>
          <w:tcPr>
            <w:tcW w:w="3350" w:type="pct"/>
            <w:vAlign w:val="center"/>
          </w:tcPr>
          <w:p w14:paraId="09285C22" w14:textId="3D2FFDE7" w:rsidR="001434C5" w:rsidRPr="0062339D" w:rsidRDefault="0062339D" w:rsidP="0062339D">
            <w:pPr>
              <w:jc w:val="center"/>
              <w:rPr>
                <w:rFonts w:ascii="Titillium Web" w:hAnsi="Titillium Web"/>
                <w:szCs w:val="24"/>
              </w:rPr>
            </w:pPr>
            <w:r w:rsidRPr="0062339D">
              <w:rPr>
                <w:rFonts w:ascii="Titillium Web" w:hAnsi="Titillium Web"/>
                <w:smallCaps/>
                <w:szCs w:val="24"/>
              </w:rPr>
              <w:t>Felletti</w:t>
            </w:r>
            <w:r w:rsidRPr="0062339D">
              <w:rPr>
                <w:rFonts w:ascii="Titillium Web" w:hAnsi="Titillium Web"/>
                <w:szCs w:val="24"/>
              </w:rPr>
              <w:t>-</w:t>
            </w:r>
            <w:r w:rsidRPr="0062339D">
              <w:rPr>
                <w:rFonts w:ascii="Titillium Web" w:hAnsi="Titillium Web"/>
                <w:smallCaps/>
                <w:szCs w:val="24"/>
              </w:rPr>
              <w:t>Maj</w:t>
            </w:r>
            <w:r w:rsidRPr="0062339D">
              <w:rPr>
                <w:rFonts w:ascii="Titillium Web" w:hAnsi="Titillium Web"/>
                <w:szCs w:val="24"/>
              </w:rPr>
              <w:t xml:space="preserve"> 1940, p. 340; </w:t>
            </w:r>
            <w:r w:rsidRPr="0062339D">
              <w:rPr>
                <w:rFonts w:ascii="Titillium Web" w:hAnsi="Titillium Web"/>
                <w:smallCaps/>
                <w:szCs w:val="24"/>
              </w:rPr>
              <w:t>Serra</w:t>
            </w:r>
            <w:r w:rsidRPr="0062339D">
              <w:rPr>
                <w:rFonts w:ascii="Titillium Web" w:hAnsi="Titillium Web"/>
                <w:szCs w:val="24"/>
              </w:rPr>
              <w:t xml:space="preserve"> 2016-2017</w:t>
            </w:r>
          </w:p>
        </w:tc>
      </w:tr>
    </w:tbl>
    <w:p w14:paraId="13D523A5" w14:textId="77777777" w:rsidR="00472AF4" w:rsidRPr="0062339D" w:rsidRDefault="00472AF4" w:rsidP="0086297F">
      <w:pPr>
        <w:rPr>
          <w:rFonts w:ascii="Titillium Web" w:hAnsi="Titillium Web"/>
        </w:rPr>
      </w:pPr>
    </w:p>
    <w:sectPr w:rsidR="00472AF4" w:rsidRPr="0062339D"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434C5"/>
    <w:rsid w:val="001C17CC"/>
    <w:rsid w:val="002977D7"/>
    <w:rsid w:val="00472AF4"/>
    <w:rsid w:val="00551AF8"/>
    <w:rsid w:val="005B5AFF"/>
    <w:rsid w:val="006162A4"/>
    <w:rsid w:val="0062339D"/>
    <w:rsid w:val="006346F7"/>
    <w:rsid w:val="006D6EFB"/>
    <w:rsid w:val="007145BC"/>
    <w:rsid w:val="0086297F"/>
    <w:rsid w:val="009E4922"/>
    <w:rsid w:val="00AB321D"/>
    <w:rsid w:val="00B165C4"/>
    <w:rsid w:val="00C21EE0"/>
    <w:rsid w:val="00D900AB"/>
    <w:rsid w:val="00D936E8"/>
    <w:rsid w:val="00E24633"/>
    <w:rsid w:val="00FA4C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2026-05-13T19:14:00Z</dcterms:modified>
</cp:coreProperties>
</file>