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8261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8261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5CAEB184" w:rsidR="001B5504" w:rsidRPr="0088261E" w:rsidRDefault="003E6F1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88261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88261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88261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88261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8261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4DCEABF" w:rsidR="001B5504" w:rsidRPr="0088261E" w:rsidRDefault="003E6F1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8261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A267A67" w:rsidR="001B5504" w:rsidRPr="0088261E" w:rsidRDefault="003E6F1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8261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8261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5483D728" w14:textId="77777777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123 tomba &lt; a cremazione &gt; devastata. </w:t>
            </w:r>
          </w:p>
          <w:p w14:paraId="60E20A12" w14:textId="66A7B09D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(fra i cocci e vasi della tomba)</w:t>
            </w:r>
          </w:p>
          <w:p w14:paraId="5AA94DFF" w14:textId="1C44929E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A m. 2 a lev. dalla precedente, a m. 0,60 di profondità si rinviene l’avanzo di una tomba saccheggiata anzi devastata, </w:t>
            </w:r>
            <w:r w:rsidR="003E6F1D" w:rsidRPr="0088261E">
              <w:rPr>
                <w:rFonts w:ascii="Titillium Web" w:hAnsi="Titillium Web" w:cs="Times New Roman"/>
                <w:i/>
                <w:iCs/>
                <w:szCs w:val="24"/>
              </w:rPr>
              <w:t>poiché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 il terreno per circa 30 cm di profondità è stato tutto smosso all’inizio e in questo rimestio fu asportata la parte superiore dei vasi.</w:t>
            </w:r>
          </w:p>
          <w:p w14:paraId="2C221A56" w14:textId="77777777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A sud era un dolio piuttosto grande di cui non si rinvenne che la metà inferiore e gli altri pezzi disseminati tutto all’</w:t>
            </w:r>
            <w:proofErr w:type="spellStart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ingiro</w:t>
            </w:r>
            <w:proofErr w:type="spellEnd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.</w:t>
            </w:r>
          </w:p>
          <w:p w14:paraId="335921E5" w14:textId="77777777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Il dolio è di un 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impasto grossolano e completamente marcito e non fu possibile raccoglierlo; entro fra le ceneri aveva: due </w:t>
            </w:r>
            <w:proofErr w:type="spellStart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oinocoi</w:t>
            </w:r>
            <w:proofErr w:type="spellEnd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 a v.n., a forma allungata, e a orifizio circolare con alta ansa verticale: sono interi e conservatissimi e misurano 0,26. di altezza.</w:t>
            </w:r>
          </w:p>
          <w:p w14:paraId="7D76210F" w14:textId="77777777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A nord del dolio era la parte inferiore di 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kelebe in fram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menti, figurata, i di cui pezzi del collo e della parte superiore erano in parte disseminati d’attorno. La kelebe è disegnata abbastanza bene, a </w:t>
            </w:r>
            <w:proofErr w:type="spellStart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f.r</w:t>
            </w:r>
            <w:proofErr w:type="spellEnd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. su </w:t>
            </w:r>
            <w:proofErr w:type="spellStart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f.n</w:t>
            </w:r>
            <w:proofErr w:type="spellEnd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. Pochi frammenti della parte superiore furono raccolti. Nel lato nobile; un uomo nudo con testa di satiro e pelle di animale svolazzante sulle spalle, cavalca un cavallo (o somaro?) e davanti a lui un altro dorso di animale con accenni (Dionisio) ad una ricca veste di [...] e a destra di fronte un uomo barbato che presenta al satiro un </w:t>
            </w:r>
            <w:proofErr w:type="spellStart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cantaros</w:t>
            </w:r>
            <w:proofErr w:type="spellEnd"/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 alzato con ambe le mani all’altezza del proprio viso. Le movenze del cavallo e del satiro sono di una vivacità e verità 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>non ancora vedute in nessun vaso di questi sepolcreti (se si eccettua la scena di gigantomachia di quel frammento di coperchio rinvenuto nell’aprile 1922 in Valle Trebba.)</w:t>
            </w:r>
          </w:p>
          <w:p w14:paraId="37DF389B" w14:textId="77777777" w:rsidR="005D1904" w:rsidRPr="0088261E" w:rsidRDefault="005D1904" w:rsidP="005D190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vasetto a v.n. decorato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 xml:space="preserve"> di un motivo geometrico nella parte superiore all’inizio dell’orifizio</w:t>
            </w:r>
          </w:p>
          <w:p w14:paraId="1A6B7E7E" w14:textId="13ACF98C" w:rsidR="001B5504" w:rsidRPr="0088261E" w:rsidRDefault="005D1904" w:rsidP="005D1904">
            <w:pPr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e presso il beccuccio – è rotto e senza ansa – (guttus)</w:t>
            </w:r>
          </w:p>
        </w:tc>
      </w:tr>
      <w:tr w:rsidR="001B5504" w:rsidRPr="0088261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1637FA9E" w14:textId="77FBAF54" w:rsidR="00211C4A" w:rsidRPr="0088261E" w:rsidRDefault="00211C4A" w:rsidP="00211C4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88261E">
              <w:rPr>
                <w:rFonts w:ascii="Titillium Web" w:hAnsi="Titillium Web" w:cs="Times New Roman"/>
                <w:szCs w:val="24"/>
              </w:rPr>
              <w:t xml:space="preserve">I resti cremati del defunto erano conservati in un’olla di produzione locale non prelevata per il cattivo stato di conservazione (n. 1*). Il corredo era disposto in parte all’interno del cinerario, due 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oinochoai</w:t>
            </w:r>
            <w:r w:rsidRPr="0088261E">
              <w:rPr>
                <w:rFonts w:ascii="Titillium Web" w:hAnsi="Titillium Web" w:cs="Times New Roman"/>
                <w:szCs w:val="24"/>
              </w:rPr>
              <w:t xml:space="preserve"> attiche a v.n. (nn. 4-5), e in parte all’esterno, un cratere ed un </w:t>
            </w:r>
            <w:r w:rsidRPr="0088261E">
              <w:rPr>
                <w:rFonts w:ascii="Titillium Web" w:hAnsi="Titillium Web" w:cs="Times New Roman"/>
                <w:i/>
                <w:iCs/>
                <w:szCs w:val="24"/>
              </w:rPr>
              <w:t>feeder</w:t>
            </w:r>
            <w:r w:rsidRPr="0088261E">
              <w:rPr>
                <w:rFonts w:ascii="Titillium Web" w:hAnsi="Titillium Web" w:cs="Times New Roman"/>
                <w:szCs w:val="24"/>
              </w:rPr>
              <w:t xml:space="preserve"> attici a </w:t>
            </w:r>
            <w:proofErr w:type="spellStart"/>
            <w:r w:rsidRPr="0088261E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88261E">
              <w:rPr>
                <w:rFonts w:ascii="Titillium Web" w:hAnsi="Titillium Web" w:cs="Times New Roman"/>
                <w:szCs w:val="24"/>
              </w:rPr>
              <w:t>. (nn. 2-3).</w:t>
            </w:r>
          </w:p>
          <w:p w14:paraId="5EE32F9C" w14:textId="60AFE23C" w:rsidR="001B5504" w:rsidRPr="0088261E" w:rsidRDefault="003A09D1" w:rsidP="00211C4A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1*. Olla di produzione locale (ceramica grezza)</w:t>
            </w:r>
            <w:r w:rsidRPr="0088261E">
              <w:rPr>
                <w:rFonts w:ascii="Titillium Web" w:hAnsi="Titillium Web"/>
                <w:szCs w:val="24"/>
              </w:rPr>
              <w:br/>
              <w:t xml:space="preserve">2. </w:t>
            </w:r>
            <w:hyperlink r:id="rId5" w:history="1">
              <w:r w:rsidRPr="0088261E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Pr="0088261E">
              <w:rPr>
                <w:rFonts w:ascii="Titillium Web" w:hAnsi="Titillium Web"/>
                <w:szCs w:val="24"/>
              </w:rPr>
              <w:t xml:space="preserve"> (IG 3114; figure rosse)</w:t>
            </w:r>
            <w:r w:rsidRPr="0088261E">
              <w:rPr>
                <w:rFonts w:ascii="Titillium Web" w:hAnsi="Titillium Web"/>
                <w:szCs w:val="24"/>
              </w:rPr>
              <w:br/>
              <w:t>3. Guttus attico (IG 1086; figure rosse)</w:t>
            </w:r>
            <w:r w:rsidRPr="0088261E">
              <w:rPr>
                <w:rFonts w:ascii="Titillium Web" w:hAnsi="Titillium Web"/>
                <w:szCs w:val="24"/>
              </w:rPr>
              <w:br/>
              <w:t>4. Oinochoe attica a bocca rotonda forma 5 (IG 1084; vernice nera)</w:t>
            </w:r>
            <w:r w:rsidRPr="0088261E">
              <w:rPr>
                <w:rFonts w:ascii="Titillium Web" w:hAnsi="Titillium Web"/>
                <w:szCs w:val="24"/>
              </w:rPr>
              <w:br/>
              <w:t>5. Oinochoe attica a bocca rotonda forma 5 (vernice nera)</w:t>
            </w:r>
          </w:p>
        </w:tc>
      </w:tr>
      <w:tr w:rsidR="001B5504" w:rsidRPr="0088261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30C640F" w:rsidR="001B5504" w:rsidRPr="0088261E" w:rsidRDefault="00211C4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1B5504" w:rsidRPr="0088261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F56D787" w:rsidR="001B5504" w:rsidRPr="0088261E" w:rsidRDefault="0088261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8261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8261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8261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8261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8261E">
              <w:rPr>
                <w:rFonts w:ascii="Titillium Web" w:hAnsi="Titillium Web"/>
                <w:szCs w:val="24"/>
              </w:rPr>
              <w:t>450 a.C.</w:t>
            </w:r>
          </w:p>
        </w:tc>
      </w:tr>
      <w:tr w:rsidR="001B5504" w:rsidRPr="0088261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49C21233" w:rsidR="001B5504" w:rsidRPr="0088261E" w:rsidRDefault="00334479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8261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8261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61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8261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0197"/>
    <w:rsid w:val="001B5504"/>
    <w:rsid w:val="001F2833"/>
    <w:rsid w:val="00211C4A"/>
    <w:rsid w:val="0029024B"/>
    <w:rsid w:val="002977D7"/>
    <w:rsid w:val="002F1500"/>
    <w:rsid w:val="00334479"/>
    <w:rsid w:val="003A09D1"/>
    <w:rsid w:val="003E6F1D"/>
    <w:rsid w:val="00472AF4"/>
    <w:rsid w:val="00552959"/>
    <w:rsid w:val="00560743"/>
    <w:rsid w:val="005B5AFF"/>
    <w:rsid w:val="005D1904"/>
    <w:rsid w:val="0068458A"/>
    <w:rsid w:val="00710B38"/>
    <w:rsid w:val="007145BC"/>
    <w:rsid w:val="007D54CD"/>
    <w:rsid w:val="0088261E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552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FC512C81-FB0D-4529-8D05-346C06F0A10E%7d&amp;noResults=1&amp;recordCount=1&amp;databaseID=%7b12FC52A7-0E32-4A81-9FFA-C8C6CF430677%7d&amp;search=%20%7bAND%7d%202057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2026-05-18T08:49:00Z</dcterms:modified>
</cp:coreProperties>
</file>