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F965B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F965B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F965B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F965B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F965B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1,40 m</w:t>
            </w:r>
          </w:p>
        </w:tc>
      </w:tr>
      <w:tr w:rsidR="001B5504" w:rsidRPr="00F965B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F965B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5D15C0F" w:rsidR="001B5504" w:rsidRPr="00F965BA" w:rsidRDefault="000A4E0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965B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BC5819E" w:rsidR="001B5504" w:rsidRPr="00F965BA" w:rsidRDefault="000A4E0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965B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F965B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D898DE0" w14:textId="77777777" w:rsidR="000A4E03" w:rsidRPr="00F965BA" w:rsidRDefault="000A4E03" w:rsidP="000A4E0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hAnsi="Titillium Web" w:cs="Times New Roman"/>
                <w:i/>
                <w:iCs/>
                <w:szCs w:val="24"/>
              </w:rPr>
              <w:t xml:space="preserve">lì 17 – agosto – </w:t>
            </w:r>
            <w:proofErr w:type="gramStart"/>
            <w:r w:rsidRPr="00F965BA">
              <w:rPr>
                <w:rFonts w:ascii="Titillium Web" w:hAnsi="Titillium Web" w:cs="Times New Roman"/>
                <w:i/>
                <w:iCs/>
                <w:szCs w:val="24"/>
              </w:rPr>
              <w:t>I°</w:t>
            </w:r>
            <w:proofErr w:type="gramEnd"/>
            <w:r w:rsidRPr="00F965BA">
              <w:rPr>
                <w:rFonts w:ascii="Titillium Web" w:hAnsi="Titillium Web" w:cs="Times New Roman"/>
                <w:i/>
                <w:iCs/>
                <w:szCs w:val="24"/>
              </w:rPr>
              <w:t xml:space="preserve"> zona – Scolo (n. 4) B.</w:t>
            </w:r>
          </w:p>
          <w:p w14:paraId="41149DFF" w14:textId="77777777" w:rsidR="000A4E03" w:rsidRPr="00F965BA" w:rsidRDefault="000A4E03" w:rsidP="000A4E0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hAnsi="Titillium Web" w:cs="Times New Roman"/>
                <w:i/>
                <w:iCs/>
                <w:szCs w:val="24"/>
              </w:rPr>
              <w:t>N° 125</w:t>
            </w:r>
          </w:p>
          <w:p w14:paraId="4EFE0E63" w14:textId="1B876F9B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Il giorno 17 </w:t>
            </w:r>
            <w:r w:rsidRPr="00F965BA">
              <w:rPr>
                <w:rFonts w:ascii="Titillium Web" w:eastAsia="Times New Roman" w:hAnsi="Titillium Web" w:cs="Times New Roman"/>
                <w:szCs w:val="24"/>
              </w:rPr>
              <w:t>[ndr: agosto]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la squadra che lavora nello scolo che attraversa la zona delle tombe rinvenute (2?) tombe delle quali cerco di descrivere il materiale, se il racconto degli sterratori corrisponde a verità.</w:t>
            </w:r>
          </w:p>
          <w:p w14:paraId="037AC223" w14:textId="77777777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A m 20 circa dalla precedente </w:t>
            </w:r>
            <w:proofErr w:type="gramStart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II°</w:t>
            </w:r>
            <w:proofErr w:type="gramEnd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tomba – a cremazione – un ciottolo fluviale segnava superiormente la tomba.</w:t>
            </w:r>
          </w:p>
          <w:p w14:paraId="177667D9" w14:textId="77777777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A m 1, 40 di profondità giaceva </w:t>
            </w:r>
          </w:p>
          <w:p w14:paraId="347AACF9" w14:textId="77777777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>una grande anfora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con i manici a volute con il suo coperchio. L’anfora è intatta, a v.n. e qualche disegno all’orlo e nelle anse – e nella parte superiore del coperchio a pomello – alta cm 65 il coperchio è leggermente </w:t>
            </w:r>
            <w:proofErr w:type="spellStart"/>
            <w:proofErr w:type="gramStart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framm.tato</w:t>
            </w:r>
            <w:proofErr w:type="spellEnd"/>
            <w:proofErr w:type="gramEnd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, presso l’orlo. L’anfora conteneva i resti umani combusti – </w:t>
            </w:r>
          </w:p>
          <w:p w14:paraId="614AAEB0" w14:textId="77777777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-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 xml:space="preserve">1 </w:t>
            </w:r>
            <w:proofErr w:type="spellStart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 xml:space="preserve"> trilobata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, intera, di lavoro grossolano, con figure nere su fondo rosso ma di stile molto tardo. Il disegno è trascuratissimo – alta cm. 23 – </w:t>
            </w:r>
          </w:p>
          <w:p w14:paraId="091C74CD" w14:textId="77777777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-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 xml:space="preserve">1 Idria a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fig. nere in fr. dello stesso stile della precedente. Ha il collo e la bocca mancanti fra i frammenti raccattati – alta cm. 20</w:t>
            </w:r>
          </w:p>
          <w:p w14:paraId="23B98E4D" w14:textId="77777777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-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 xml:space="preserve">1 (altra </w:t>
            </w:r>
            <w:proofErr w:type="spellStart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>oinocoi</w:t>
            </w:r>
            <w:proofErr w:type="spellEnd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 xml:space="preserve">)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uguale alla prima, ma in pezzi di lavoro trascuratissimo.</w:t>
            </w:r>
          </w:p>
          <w:p w14:paraId="2094F1CC" w14:textId="77777777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-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 xml:space="preserve">1 tazza a due manici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laterali a v.n. con palmette all’</w:t>
            </w:r>
            <w:proofErr w:type="spellStart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ingiro</w:t>
            </w:r>
            <w:proofErr w:type="spellEnd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sul rovescio dell’orlo frammentata – </w:t>
            </w:r>
          </w:p>
          <w:p w14:paraId="0D0CE013" w14:textId="77777777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-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 xml:space="preserve">1 piccolo piattello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a v.n., con piede, intero</w:t>
            </w:r>
          </w:p>
          <w:p w14:paraId="41FCFEE3" w14:textId="77777777" w:rsidR="000A4E03" w:rsidRPr="00F965BA" w:rsidRDefault="000A4E03" w:rsidP="000A4E03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lastRenderedPageBreak/>
              <w:t xml:space="preserve">-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>1 vasetto piccolo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(</w:t>
            </w:r>
            <w:proofErr w:type="spellStart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) a v.n. con ansa verticale e bocca trilobata – intero – alto cm. </w:t>
            </w:r>
            <w:r w:rsidRPr="00F965BA">
              <w:rPr>
                <w:rFonts w:ascii="Titillium Web" w:eastAsia="Times New Roman" w:hAnsi="Titillium Web" w:cs="Times New Roman"/>
                <w:szCs w:val="24"/>
              </w:rPr>
              <w:t>[…]</w:t>
            </w:r>
          </w:p>
          <w:p w14:paraId="1A6B7E7E" w14:textId="3A97BFDF" w:rsidR="001B5504" w:rsidRPr="00F965BA" w:rsidRDefault="000A4E03" w:rsidP="000A4E03">
            <w:pPr>
              <w:rPr>
                <w:rFonts w:ascii="Titillium Web" w:hAnsi="Titillium Web" w:cs="Times New Roman"/>
                <w:b/>
                <w:bCs/>
                <w:szCs w:val="24"/>
              </w:rPr>
            </w:pP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- 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  <w:u w:val="single"/>
              </w:rPr>
              <w:t>2 piattelli di</w:t>
            </w:r>
            <w:r w:rsidRPr="00F965BA">
              <w:rPr>
                <w:rFonts w:ascii="Titillium Web" w:eastAsia="Times New Roman" w:hAnsi="Titillium Web" w:cs="Times New Roman"/>
                <w:i/>
                <w:iCs/>
                <w:szCs w:val="24"/>
              </w:rPr>
              <w:t xml:space="preserve"> terra rossa, apodi – grezzi.</w:t>
            </w:r>
          </w:p>
        </w:tc>
      </w:tr>
      <w:tr w:rsidR="001B5504" w:rsidRPr="00F965B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7C59ABE3" w14:textId="02D50589" w:rsidR="001B5504" w:rsidRPr="00F965BA" w:rsidRDefault="00A1255E" w:rsidP="00F965B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965BA">
              <w:rPr>
                <w:rFonts w:ascii="Titillium Web" w:hAnsi="Titillium Web" w:cs="Times New Roman"/>
                <w:szCs w:val="24"/>
              </w:rPr>
              <w:t xml:space="preserve">Le ceneri erano all’interno di una grande anfora attica a doppia tecnica (n. 1), mentre la posizione del corredo non è nota (nn. 2-9); Si presume che questo poteva trovarsi all’esterno del </w:t>
            </w:r>
            <w:r w:rsidR="005A633D" w:rsidRPr="00F965BA">
              <w:rPr>
                <w:rFonts w:ascii="Titillium Web" w:hAnsi="Titillium Web" w:cs="Times New Roman"/>
                <w:szCs w:val="24"/>
              </w:rPr>
              <w:t>cinerario</w:t>
            </w:r>
            <w:r w:rsidRPr="00F965BA">
              <w:rPr>
                <w:rFonts w:ascii="Titillium Web" w:hAnsi="Titillium Web" w:cs="Times New Roman"/>
                <w:szCs w:val="24"/>
              </w:rPr>
              <w:t>. Nel corredo figurano vasi attici, realizzati con tecniche diverse, e due piatti in ceramica depurata locale</w:t>
            </w:r>
            <w:r w:rsidRPr="00F965BA">
              <w:rPr>
                <w:rFonts w:ascii="Titillium Web" w:hAnsi="Titillium Web" w:cs="Times New Roman"/>
                <w:szCs w:val="24"/>
              </w:rPr>
              <w:t>.</w:t>
            </w:r>
          </w:p>
          <w:p w14:paraId="0454CFD6" w14:textId="53CA008A" w:rsidR="005A633D" w:rsidRPr="00F965BA" w:rsidRDefault="00F8458C" w:rsidP="00F965BA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5A633D" w:rsidRPr="00F965BA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Anfora attica</w:t>
              </w:r>
            </w:hyperlink>
            <w:r w:rsidR="005A633D" w:rsidRPr="00F965BA">
              <w:rPr>
                <w:rFonts w:ascii="Titillium Web" w:hAnsi="Titillium Web"/>
                <w:szCs w:val="24"/>
              </w:rPr>
              <w:t xml:space="preserve"> (IG 244; doppia tecnica)</w:t>
            </w:r>
          </w:p>
          <w:p w14:paraId="44B5F2C0" w14:textId="394C9BF3" w:rsidR="005A633D" w:rsidRPr="00F965BA" w:rsidRDefault="003B1185" w:rsidP="00F965BA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 xml:space="preserve">2. </w:t>
            </w:r>
            <w:hyperlink r:id="rId6" w:history="1">
              <w:r w:rsidR="005A633D" w:rsidRPr="00F965BA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Oinochoe attica a bocca trilobata</w:t>
              </w:r>
            </w:hyperlink>
            <w:r w:rsidR="005A633D" w:rsidRPr="00F965BA">
              <w:rPr>
                <w:rFonts w:ascii="Titillium Web" w:hAnsi="Titillium Web"/>
                <w:szCs w:val="24"/>
              </w:rPr>
              <w:t xml:space="preserve"> (IG 296; figure nere su fondo bianco)</w:t>
            </w:r>
          </w:p>
          <w:p w14:paraId="132E7776" w14:textId="112BE66E" w:rsidR="005A633D" w:rsidRPr="00F965BA" w:rsidRDefault="003B1185" w:rsidP="00F965BA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 xml:space="preserve">3. </w:t>
            </w:r>
            <w:r w:rsidR="005A633D" w:rsidRPr="00F965BA">
              <w:rPr>
                <w:rFonts w:ascii="Titillium Web" w:hAnsi="Titillium Web"/>
                <w:szCs w:val="24"/>
              </w:rPr>
              <w:t>Oinochoe attica a bocca trilobata (IG 300; figure nere)</w:t>
            </w:r>
          </w:p>
          <w:p w14:paraId="78A996D2" w14:textId="63F00940" w:rsidR="005A633D" w:rsidRPr="00F965BA" w:rsidRDefault="003B1185" w:rsidP="00F965BA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 xml:space="preserve">4. </w:t>
            </w:r>
            <w:hyperlink r:id="rId7" w:history="1">
              <w:r w:rsidR="005A633D" w:rsidRPr="00F965BA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Kalpis attica</w:t>
              </w:r>
            </w:hyperlink>
            <w:r w:rsidR="005A633D" w:rsidRPr="00F965BA">
              <w:rPr>
                <w:rFonts w:ascii="Titillium Web" w:hAnsi="Titillium Web"/>
                <w:szCs w:val="24"/>
              </w:rPr>
              <w:t xml:space="preserve"> (IG 293; figure nere)</w:t>
            </w:r>
          </w:p>
          <w:p w14:paraId="1D0BF5E5" w14:textId="5525875C" w:rsidR="005A633D" w:rsidRPr="00F965BA" w:rsidRDefault="003B1185" w:rsidP="00F965BA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 xml:space="preserve">5. </w:t>
            </w:r>
            <w:hyperlink r:id="rId8" w:history="1">
              <w:r w:rsidR="005A633D" w:rsidRPr="005211F7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Kylix attica</w:t>
              </w:r>
            </w:hyperlink>
            <w:r w:rsidR="001E7A9B" w:rsidRPr="00F965BA">
              <w:rPr>
                <w:rFonts w:ascii="Titillium Web" w:hAnsi="Titillium Web"/>
                <w:szCs w:val="24"/>
              </w:rPr>
              <w:t xml:space="preserve"> </w:t>
            </w:r>
            <w:r w:rsidR="005A633D" w:rsidRPr="00F965BA">
              <w:rPr>
                <w:rFonts w:ascii="Titillium Web" w:hAnsi="Titillium Web"/>
                <w:szCs w:val="24"/>
              </w:rPr>
              <w:t>(IG 297; figure nere)</w:t>
            </w:r>
          </w:p>
          <w:p w14:paraId="6EE5128D" w14:textId="588CA1A7" w:rsidR="005A633D" w:rsidRPr="00F965BA" w:rsidRDefault="003B1185" w:rsidP="00F965BA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 xml:space="preserve">6. </w:t>
            </w:r>
            <w:r w:rsidR="005A633D" w:rsidRPr="00F965BA">
              <w:rPr>
                <w:rFonts w:ascii="Titillium Web" w:hAnsi="Titillium Web"/>
                <w:szCs w:val="24"/>
              </w:rPr>
              <w:t xml:space="preserve">Ciotola attica su alto piede tipo </w:t>
            </w:r>
            <w:proofErr w:type="spellStart"/>
            <w:r w:rsidR="005A633D" w:rsidRPr="00F965BA">
              <w:rPr>
                <w:rFonts w:ascii="Titillium Web" w:hAnsi="Titillium Web"/>
                <w:szCs w:val="24"/>
              </w:rPr>
              <w:t>convex</w:t>
            </w:r>
            <w:proofErr w:type="spellEnd"/>
            <w:r w:rsidR="005A633D" w:rsidRPr="00F965BA">
              <w:rPr>
                <w:rFonts w:ascii="Titillium Web" w:hAnsi="Titillium Web"/>
                <w:szCs w:val="24"/>
              </w:rPr>
              <w:t xml:space="preserve"> and small (IG 298; vernice nera)</w:t>
            </w:r>
          </w:p>
          <w:p w14:paraId="6505AC8C" w14:textId="64043FE6" w:rsidR="005A633D" w:rsidRPr="00F965BA" w:rsidRDefault="003B1185" w:rsidP="00F965BA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 xml:space="preserve">7. </w:t>
            </w:r>
            <w:r w:rsidR="005A633D" w:rsidRPr="00F965BA">
              <w:rPr>
                <w:rFonts w:ascii="Titillium Web" w:hAnsi="Titillium Web"/>
                <w:szCs w:val="24"/>
              </w:rPr>
              <w:t>Chous attico (IG 294; vernice nera suddipinta)</w:t>
            </w:r>
          </w:p>
          <w:p w14:paraId="25B9647B" w14:textId="6EFBA9E4" w:rsidR="005A633D" w:rsidRPr="00F965BA" w:rsidRDefault="003B1185" w:rsidP="00F965BA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 xml:space="preserve">8. </w:t>
            </w:r>
            <w:r w:rsidR="005A633D" w:rsidRPr="00F965BA">
              <w:rPr>
                <w:rFonts w:ascii="Titillium Web" w:hAnsi="Titillium Web"/>
                <w:szCs w:val="24"/>
              </w:rPr>
              <w:t>Piatto etrusco-padano, ceramica depurata (IG 295)</w:t>
            </w:r>
          </w:p>
          <w:p w14:paraId="5EE32F9C" w14:textId="2E323972" w:rsidR="00A1255E" w:rsidRPr="00F965BA" w:rsidRDefault="003B1185" w:rsidP="00F965BA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 xml:space="preserve">9. </w:t>
            </w:r>
            <w:r w:rsidR="005A633D" w:rsidRPr="00F965BA">
              <w:rPr>
                <w:rFonts w:ascii="Titillium Web" w:hAnsi="Titillium Web"/>
                <w:szCs w:val="24"/>
              </w:rPr>
              <w:t>Piatto etrusco-padano, ceramica depurata (IG 301)</w:t>
            </w:r>
          </w:p>
        </w:tc>
      </w:tr>
      <w:tr w:rsidR="001B5504" w:rsidRPr="00F965B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CF9D400" w:rsidR="001B5504" w:rsidRPr="00F965BA" w:rsidRDefault="00751C7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65B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BB457C3" w:rsidR="001B5504" w:rsidRPr="00F965BA" w:rsidRDefault="00BD1DE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Al corredo è stato erroneamente attribuito un cilindro in osso, pertinente ad una conocchia, non documentato nel GdS.</w:t>
            </w:r>
          </w:p>
        </w:tc>
      </w:tr>
      <w:tr w:rsidR="001B5504" w:rsidRPr="00F965B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65B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65B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34EFBFEB" w:rsidR="001B5504" w:rsidRPr="00F965BA" w:rsidRDefault="00F965B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65B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zCs w:val="24"/>
              </w:rPr>
              <w:t>tra il 490 e il 475 a.C.</w:t>
            </w:r>
          </w:p>
        </w:tc>
      </w:tr>
      <w:tr w:rsidR="001B5504" w:rsidRPr="00F965B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7498A736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Aurigemma</w:t>
            </w:r>
            <w:r w:rsidRPr="00F965BA">
              <w:rPr>
                <w:rFonts w:ascii="Titillium Web" w:hAnsi="Titillium Web"/>
                <w:szCs w:val="24"/>
              </w:rPr>
              <w:t xml:space="preserve"> 1935, pp. 56-57; </w:t>
            </w:r>
            <w:r w:rsidRPr="00F965BA">
              <w:rPr>
                <w:rFonts w:ascii="Titillium Web" w:hAnsi="Titillium Web"/>
                <w:smallCaps/>
                <w:szCs w:val="24"/>
              </w:rPr>
              <w:t>Aurigemma</w:t>
            </w:r>
            <w:r w:rsidRPr="00F965BA">
              <w:rPr>
                <w:rFonts w:ascii="Titillium Web" w:hAnsi="Titillium Web"/>
                <w:szCs w:val="24"/>
              </w:rPr>
              <w:t xml:space="preserve"> 1936, pp. 58-59, tav. XXVII; </w:t>
            </w:r>
            <w:r w:rsidRPr="00F965BA">
              <w:rPr>
                <w:rFonts w:ascii="Titillium Web" w:hAnsi="Titillium Web"/>
                <w:smallCaps/>
                <w:szCs w:val="24"/>
              </w:rPr>
              <w:t>Aurigemma</w:t>
            </w:r>
            <w:r w:rsidRPr="00F965BA">
              <w:rPr>
                <w:rFonts w:ascii="Titillium Web" w:hAnsi="Titillium Web"/>
                <w:szCs w:val="24"/>
              </w:rPr>
              <w:t xml:space="preserve"> 1965, p. 4, tavv. 2-3; </w:t>
            </w:r>
            <w:r w:rsidRPr="00F965BA">
              <w:rPr>
                <w:rFonts w:ascii="Titillium Web" w:hAnsi="Titillium Web"/>
                <w:i/>
                <w:iCs/>
                <w:szCs w:val="24"/>
              </w:rPr>
              <w:t>Mostra</w:t>
            </w:r>
            <w:r w:rsidRPr="00F965BA">
              <w:rPr>
                <w:rFonts w:ascii="Titillium Web" w:hAnsi="Titillium Web"/>
                <w:szCs w:val="24"/>
              </w:rPr>
              <w:t xml:space="preserve"> 1960, pp. 284-286, nn. 865-874, tav. XXVII; </w:t>
            </w:r>
            <w:r w:rsidRPr="00F965BA">
              <w:rPr>
                <w:rFonts w:ascii="Titillium Web" w:hAnsi="Titillium Web"/>
                <w:smallCaps/>
                <w:szCs w:val="24"/>
              </w:rPr>
              <w:t>Berti</w:t>
            </w:r>
            <w:r w:rsidRPr="00F965BA">
              <w:rPr>
                <w:rFonts w:ascii="Titillium Web" w:hAnsi="Titillium Web"/>
                <w:szCs w:val="24"/>
              </w:rPr>
              <w:t xml:space="preserve"> 1983, p. 26; </w:t>
            </w:r>
            <w:r w:rsidRPr="00F965BA">
              <w:rPr>
                <w:rFonts w:ascii="Titillium Web" w:hAnsi="Titillium Web"/>
                <w:smallCaps/>
                <w:szCs w:val="24"/>
              </w:rPr>
              <w:t>Berti</w:t>
            </w:r>
            <w:r w:rsidRPr="00F965BA">
              <w:rPr>
                <w:rFonts w:ascii="Titillium Web" w:hAnsi="Titillium Web"/>
                <w:szCs w:val="24"/>
              </w:rPr>
              <w:t xml:space="preserve"> 1991, p. 40; </w:t>
            </w:r>
            <w:r w:rsidRPr="00F965BA">
              <w:rPr>
                <w:rFonts w:ascii="Titillium Web" w:hAnsi="Titillium Web"/>
                <w:smallCaps/>
                <w:szCs w:val="24"/>
              </w:rPr>
              <w:t>Parrini</w:t>
            </w:r>
            <w:r w:rsidRPr="00F965BA">
              <w:rPr>
                <w:rFonts w:ascii="Titillium Web" w:hAnsi="Titillium Web"/>
                <w:szCs w:val="24"/>
              </w:rPr>
              <w:t xml:space="preserve"> 1993, pp. 275-276; </w:t>
            </w:r>
            <w:r w:rsidRPr="00F965BA">
              <w:rPr>
                <w:rFonts w:ascii="Titillium Web" w:hAnsi="Titillium Web"/>
                <w:smallCaps/>
                <w:szCs w:val="24"/>
              </w:rPr>
              <w:t>Parrini</w:t>
            </w:r>
            <w:r w:rsidRPr="00F965BA">
              <w:rPr>
                <w:rFonts w:ascii="Titillium Web" w:hAnsi="Titillium Web"/>
                <w:szCs w:val="24"/>
              </w:rPr>
              <w:t xml:space="preserve"> 2021, pp. 286-288; </w:t>
            </w:r>
            <w:r w:rsidRPr="00F965BA">
              <w:rPr>
                <w:rFonts w:ascii="Titillium Web" w:hAnsi="Titillium Web"/>
                <w:smallCaps/>
                <w:szCs w:val="24"/>
              </w:rPr>
              <w:t>Serra</w:t>
            </w:r>
            <w:r w:rsidRPr="00F965BA">
              <w:rPr>
                <w:rFonts w:ascii="Titillium Web" w:hAnsi="Titillium Web"/>
                <w:szCs w:val="24"/>
              </w:rPr>
              <w:t xml:space="preserve"> in </w:t>
            </w:r>
            <w:r w:rsidRPr="00F965BA">
              <w:rPr>
                <w:rFonts w:ascii="Titillium Web" w:hAnsi="Titillium Web"/>
                <w:i/>
                <w:iCs/>
                <w:szCs w:val="24"/>
              </w:rPr>
              <w:t>Spina</w:t>
            </w:r>
            <w:r w:rsidRPr="00F965BA">
              <w:rPr>
                <w:rFonts w:ascii="Titillium Web" w:hAnsi="Titillium Web"/>
                <w:szCs w:val="24"/>
              </w:rPr>
              <w:t xml:space="preserve"> 2022, pp. 67-69; </w:t>
            </w:r>
            <w:r w:rsidRPr="00F965BA">
              <w:rPr>
                <w:rFonts w:ascii="Titillium Web" w:hAnsi="Titillium Web"/>
                <w:smallCaps/>
                <w:szCs w:val="24"/>
              </w:rPr>
              <w:t>Serra</w:t>
            </w:r>
            <w:r w:rsidRPr="00F965BA">
              <w:rPr>
                <w:rFonts w:ascii="Titillium Web" w:hAnsi="Titillium Web"/>
                <w:szCs w:val="24"/>
              </w:rPr>
              <w:t xml:space="preserve"> in </w:t>
            </w:r>
            <w:r w:rsidRPr="00F965BA">
              <w:rPr>
                <w:rFonts w:ascii="Titillium Web" w:hAnsi="Titillium Web"/>
                <w:i/>
                <w:iCs/>
                <w:szCs w:val="24"/>
              </w:rPr>
              <w:t>Spina</w:t>
            </w:r>
            <w:r w:rsidRPr="00F965BA">
              <w:rPr>
                <w:rFonts w:ascii="Titillium Web" w:hAnsi="Titillium Web"/>
                <w:szCs w:val="24"/>
              </w:rPr>
              <w:t xml:space="preserve"> 2023, pp. 86-88. .</w:t>
            </w:r>
          </w:p>
        </w:tc>
      </w:tr>
      <w:tr w:rsidR="001B5504" w:rsidRPr="00F965B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F965B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65B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F965B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321E"/>
    <w:rsid w:val="00014214"/>
    <w:rsid w:val="000A4E03"/>
    <w:rsid w:val="000D72F4"/>
    <w:rsid w:val="001B5504"/>
    <w:rsid w:val="001E7A9B"/>
    <w:rsid w:val="001F2833"/>
    <w:rsid w:val="001F5BFE"/>
    <w:rsid w:val="0029024B"/>
    <w:rsid w:val="002977D7"/>
    <w:rsid w:val="002E24C7"/>
    <w:rsid w:val="002F1500"/>
    <w:rsid w:val="003B1185"/>
    <w:rsid w:val="00472AF4"/>
    <w:rsid w:val="005211F7"/>
    <w:rsid w:val="00560743"/>
    <w:rsid w:val="005A633D"/>
    <w:rsid w:val="005B5AFF"/>
    <w:rsid w:val="0068458A"/>
    <w:rsid w:val="00710B38"/>
    <w:rsid w:val="007145BC"/>
    <w:rsid w:val="00751C73"/>
    <w:rsid w:val="007D54CD"/>
    <w:rsid w:val="00942E70"/>
    <w:rsid w:val="00943EAC"/>
    <w:rsid w:val="00950348"/>
    <w:rsid w:val="00975CA9"/>
    <w:rsid w:val="00997946"/>
    <w:rsid w:val="009E4922"/>
    <w:rsid w:val="00A1255E"/>
    <w:rsid w:val="00A52A70"/>
    <w:rsid w:val="00B165C4"/>
    <w:rsid w:val="00B86B2D"/>
    <w:rsid w:val="00BD1DE2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8458C"/>
    <w:rsid w:val="00F9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3B1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c.ox.ac.uk/XDB/ASP/recordDetails.asp?id=%7b485E4E34-C580-40CD-A0C4-06AC4733DE51%7d&amp;noResults=2&amp;recordCount=1&amp;databaseID=%7b12FC52A7-0E32-4A81-9FFA-C8C6CF430677%7d&amp;search=%20%7bAND%7d%20178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rc.ox.ac.uk/XDB/ASP/recordDetails.asp?id=%7bC4042808-CEAF-4116-8CE2-F4C080449835%7d&amp;noResults=1&amp;recordCount=1&amp;databaseID=%7b12FC52A7-0E32-4A81-9FFA-C8C6CF430677%7d&amp;search=%20%7bAND%7d%203060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99604038-8D67-4FCE-844A-0672928A7BD5%7d&amp;noResults=1&amp;recordCount=1&amp;databaseID=%7b12FC52A7-0E32-4A81-9FFA-C8C6CF430677%7d&amp;search=%20%7bAND%7d%20330869" TargetMode="External"/><Relationship Id="rId5" Type="http://schemas.openxmlformats.org/officeDocument/2006/relationships/hyperlink" Target="https://www.carc.ox.ac.uk/XDB/ASP/recordDetails.asp?id=%7b65C71B37-3EA1-422E-870A-01F06D29595D%7d&amp;noResults=1&amp;recordCount=1&amp;databaseID=%7b12FC52A7-0E32-4A81-9FFA-C8C6CF430677%7d&amp;search=%20%7bAND%7d%2020180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23</cp:revision>
  <dcterms:created xsi:type="dcterms:W3CDTF">2026-04-28T14:33:00Z</dcterms:created>
  <dcterms:modified xsi:type="dcterms:W3CDTF">2026-05-17T17:52:00Z</dcterms:modified>
</cp:coreProperties>
</file>