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8408" w14:textId="0B5C78B4" w:rsidR="00472AF4" w:rsidRPr="00C30F5C" w:rsidRDefault="00014214" w:rsidP="001B5504">
      <w:pPr>
        <w:jc w:val="center"/>
        <w:rPr>
          <w:rFonts w:ascii="Titillium Web" w:hAnsi="Titillium Web"/>
          <w:b/>
          <w:bCs/>
          <w:sz w:val="28"/>
          <w:szCs w:val="24"/>
        </w:rPr>
      </w:pPr>
      <w:r w:rsidRPr="00C30F5C">
        <w:rPr>
          <w:rFonts w:ascii="Titillium Web" w:hAnsi="Titillium Web"/>
          <w:b/>
          <w:bCs/>
          <w:sz w:val="28"/>
          <w:szCs w:val="24"/>
        </w:rPr>
        <w:t>Valle Trebba – Tomba 132</w:t>
      </w:r>
    </w:p>
    <w:tbl>
      <w:tblPr>
        <w:tblStyle w:val="Grigliatabella"/>
        <w:tblW w:w="5000" w:type="pct"/>
        <w:jc w:val="center"/>
        <w:tblLook w:val="04A0" w:firstRow="1" w:lastRow="0" w:firstColumn="1" w:lastColumn="0" w:noHBand="0" w:noVBand="1"/>
      </w:tblPr>
      <w:tblGrid>
        <w:gridCol w:w="2990"/>
        <w:gridCol w:w="6070"/>
      </w:tblGrid>
      <w:tr w:rsidR="001B5504" w:rsidRPr="00583778" w14:paraId="7E897B51" w14:textId="77777777" w:rsidTr="001B5504">
        <w:trPr>
          <w:jc w:val="center"/>
        </w:trPr>
        <w:tc>
          <w:tcPr>
            <w:tcW w:w="1650" w:type="pct"/>
            <w:vAlign w:val="center"/>
          </w:tcPr>
          <w:p w14:paraId="42CC7784"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t>Anno di rinvenimento</w:t>
            </w:r>
          </w:p>
        </w:tc>
        <w:tc>
          <w:tcPr>
            <w:tcW w:w="3350" w:type="pct"/>
            <w:vAlign w:val="center"/>
          </w:tcPr>
          <w:p w14:paraId="3911E4F6" w14:textId="6BFD1686" w:rsidR="001B5504" w:rsidRPr="00583778" w:rsidRDefault="001B5504" w:rsidP="00BF212E">
            <w:pPr>
              <w:jc w:val="center"/>
              <w:rPr>
                <w:rFonts w:ascii="Titillium Web" w:hAnsi="Titillium Web"/>
                <w:szCs w:val="24"/>
              </w:rPr>
            </w:pPr>
            <w:r w:rsidRPr="00583778">
              <w:rPr>
                <w:rFonts w:ascii="Titillium Web" w:hAnsi="Titillium Web"/>
                <w:szCs w:val="24"/>
              </w:rPr>
              <w:t>1923</w:t>
            </w:r>
          </w:p>
        </w:tc>
      </w:tr>
      <w:tr w:rsidR="001B5504" w:rsidRPr="00583778" w14:paraId="4120B077" w14:textId="77777777" w:rsidTr="001B5504">
        <w:trPr>
          <w:jc w:val="center"/>
        </w:trPr>
        <w:tc>
          <w:tcPr>
            <w:tcW w:w="1650" w:type="pct"/>
            <w:vAlign w:val="center"/>
          </w:tcPr>
          <w:p w14:paraId="7B4CDD57"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t>Stato di conservazione della tomba</w:t>
            </w:r>
          </w:p>
        </w:tc>
        <w:tc>
          <w:tcPr>
            <w:tcW w:w="3350" w:type="pct"/>
            <w:vAlign w:val="center"/>
          </w:tcPr>
          <w:p w14:paraId="4ED449D1" w14:textId="78EA1008" w:rsidR="001B5504" w:rsidRPr="00583778" w:rsidRDefault="00514260" w:rsidP="00BF212E">
            <w:pPr>
              <w:jc w:val="center"/>
              <w:rPr>
                <w:rFonts w:ascii="Titillium Web" w:hAnsi="Titillium Web"/>
                <w:szCs w:val="24"/>
              </w:rPr>
            </w:pPr>
            <w:r w:rsidRPr="00583778">
              <w:rPr>
                <w:rFonts w:ascii="Titillium Web" w:hAnsi="Titillium Web"/>
                <w:szCs w:val="24"/>
              </w:rPr>
              <w:t>Non determinabile</w:t>
            </w:r>
          </w:p>
        </w:tc>
      </w:tr>
      <w:tr w:rsidR="001B5504" w:rsidRPr="00583778" w14:paraId="7A448E9D" w14:textId="77777777" w:rsidTr="001B5504">
        <w:trPr>
          <w:jc w:val="center"/>
        </w:trPr>
        <w:tc>
          <w:tcPr>
            <w:tcW w:w="1650" w:type="pct"/>
            <w:vAlign w:val="center"/>
          </w:tcPr>
          <w:p w14:paraId="1E1EA165"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t>Rito di seppellimento</w:t>
            </w:r>
          </w:p>
        </w:tc>
        <w:tc>
          <w:tcPr>
            <w:tcW w:w="3350" w:type="pct"/>
            <w:vAlign w:val="center"/>
          </w:tcPr>
          <w:p w14:paraId="18226334" w14:textId="6B6FE1CF" w:rsidR="001B5504" w:rsidRPr="00583778" w:rsidRDefault="001B5504" w:rsidP="00BF212E">
            <w:pPr>
              <w:jc w:val="center"/>
              <w:rPr>
                <w:rFonts w:ascii="Titillium Web" w:hAnsi="Titillium Web"/>
                <w:szCs w:val="24"/>
              </w:rPr>
            </w:pPr>
            <w:r w:rsidRPr="00583778">
              <w:rPr>
                <w:rFonts w:ascii="Titillium Web" w:hAnsi="Titillium Web"/>
                <w:szCs w:val="24"/>
              </w:rPr>
              <w:t>Inumazione</w:t>
            </w:r>
          </w:p>
        </w:tc>
      </w:tr>
      <w:tr w:rsidR="001B5504" w:rsidRPr="00583778" w14:paraId="31276AA4" w14:textId="77777777" w:rsidTr="001B5504">
        <w:trPr>
          <w:jc w:val="center"/>
        </w:trPr>
        <w:tc>
          <w:tcPr>
            <w:tcW w:w="1650" w:type="pct"/>
            <w:vAlign w:val="center"/>
          </w:tcPr>
          <w:p w14:paraId="33201D3D"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t>Struttura tomba</w:t>
            </w:r>
          </w:p>
        </w:tc>
        <w:tc>
          <w:tcPr>
            <w:tcW w:w="3350" w:type="pct"/>
            <w:vAlign w:val="center"/>
          </w:tcPr>
          <w:p w14:paraId="720E7EE7" w14:textId="3E36BEBB" w:rsidR="001B5504" w:rsidRPr="00583778" w:rsidRDefault="001B5504" w:rsidP="00BF212E">
            <w:pPr>
              <w:jc w:val="center"/>
              <w:rPr>
                <w:rFonts w:ascii="Titillium Web" w:hAnsi="Titillium Web"/>
                <w:szCs w:val="24"/>
              </w:rPr>
            </w:pPr>
            <w:r w:rsidRPr="00583778">
              <w:rPr>
                <w:rFonts w:ascii="Titillium Web" w:hAnsi="Titillium Web"/>
                <w:szCs w:val="24"/>
              </w:rPr>
              <w:t>fossa semplice, forma non registrata</w:t>
            </w:r>
          </w:p>
        </w:tc>
      </w:tr>
      <w:tr w:rsidR="001B5504" w:rsidRPr="00583778" w14:paraId="07337DA2" w14:textId="77777777" w:rsidTr="001B5504">
        <w:trPr>
          <w:jc w:val="center"/>
        </w:trPr>
        <w:tc>
          <w:tcPr>
            <w:tcW w:w="1650" w:type="pct"/>
            <w:vAlign w:val="center"/>
          </w:tcPr>
          <w:p w14:paraId="5032DFD5"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t>Profondità dal piano di campagna</w:t>
            </w:r>
          </w:p>
        </w:tc>
        <w:tc>
          <w:tcPr>
            <w:tcW w:w="3350" w:type="pct"/>
            <w:vAlign w:val="center"/>
          </w:tcPr>
          <w:p w14:paraId="4AC1C871" w14:textId="553FE193" w:rsidR="001B5504" w:rsidRPr="00583778" w:rsidRDefault="001B5504" w:rsidP="00BF212E">
            <w:pPr>
              <w:jc w:val="center"/>
              <w:rPr>
                <w:rFonts w:ascii="Titillium Web" w:hAnsi="Titillium Web"/>
                <w:szCs w:val="24"/>
              </w:rPr>
            </w:pPr>
            <w:r w:rsidRPr="00583778">
              <w:rPr>
                <w:rFonts w:ascii="Titillium Web" w:hAnsi="Titillium Web"/>
                <w:szCs w:val="24"/>
              </w:rPr>
              <w:t>/</w:t>
            </w:r>
          </w:p>
        </w:tc>
      </w:tr>
      <w:tr w:rsidR="001B5504" w:rsidRPr="00583778" w14:paraId="16F9D287" w14:textId="77777777" w:rsidTr="001B5504">
        <w:trPr>
          <w:jc w:val="center"/>
        </w:trPr>
        <w:tc>
          <w:tcPr>
            <w:tcW w:w="1650" w:type="pct"/>
            <w:vAlign w:val="center"/>
          </w:tcPr>
          <w:p w14:paraId="5D675683"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t>Dimensioni della sepoltura</w:t>
            </w:r>
          </w:p>
        </w:tc>
        <w:tc>
          <w:tcPr>
            <w:tcW w:w="3350" w:type="pct"/>
            <w:vAlign w:val="center"/>
          </w:tcPr>
          <w:p w14:paraId="606ED54D" w14:textId="0EBDB5D9" w:rsidR="001B5504" w:rsidRPr="00583778" w:rsidRDefault="001B5504" w:rsidP="00BF212E">
            <w:pPr>
              <w:jc w:val="center"/>
              <w:rPr>
                <w:rFonts w:ascii="Titillium Web" w:hAnsi="Titillium Web"/>
                <w:szCs w:val="24"/>
              </w:rPr>
            </w:pPr>
            <w:r w:rsidRPr="00583778">
              <w:rPr>
                <w:rFonts w:ascii="Titillium Web" w:hAnsi="Titillium Web"/>
                <w:szCs w:val="24"/>
              </w:rPr>
              <w:t>Dimensioni non registrate</w:t>
            </w:r>
          </w:p>
        </w:tc>
      </w:tr>
      <w:tr w:rsidR="001B5504" w:rsidRPr="00583778" w14:paraId="3DCDE8C5" w14:textId="77777777" w:rsidTr="001B5504">
        <w:trPr>
          <w:jc w:val="center"/>
        </w:trPr>
        <w:tc>
          <w:tcPr>
            <w:tcW w:w="1650" w:type="pct"/>
            <w:vAlign w:val="center"/>
          </w:tcPr>
          <w:p w14:paraId="090E3992"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t>Orientamento dello scheletro</w:t>
            </w:r>
          </w:p>
        </w:tc>
        <w:tc>
          <w:tcPr>
            <w:tcW w:w="3350" w:type="pct"/>
            <w:vAlign w:val="center"/>
          </w:tcPr>
          <w:p w14:paraId="01C3562F" w14:textId="46760428" w:rsidR="001B5504" w:rsidRPr="00583778" w:rsidRDefault="00514260" w:rsidP="00BF212E">
            <w:pPr>
              <w:jc w:val="center"/>
              <w:rPr>
                <w:rFonts w:ascii="Titillium Web" w:hAnsi="Titillium Web"/>
                <w:szCs w:val="24"/>
              </w:rPr>
            </w:pPr>
            <w:r w:rsidRPr="00583778">
              <w:rPr>
                <w:rFonts w:ascii="Titillium Web" w:hAnsi="Titillium Web"/>
                <w:szCs w:val="24"/>
              </w:rPr>
              <w:t>/</w:t>
            </w:r>
          </w:p>
        </w:tc>
      </w:tr>
      <w:tr w:rsidR="001B5504" w:rsidRPr="00583778" w14:paraId="5978151F" w14:textId="77777777" w:rsidTr="001B5504">
        <w:trPr>
          <w:jc w:val="center"/>
        </w:trPr>
        <w:tc>
          <w:tcPr>
            <w:tcW w:w="1650" w:type="pct"/>
            <w:vAlign w:val="center"/>
          </w:tcPr>
          <w:p w14:paraId="1F67A10B"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t>Segnacolo</w:t>
            </w:r>
          </w:p>
        </w:tc>
        <w:tc>
          <w:tcPr>
            <w:tcW w:w="3350" w:type="pct"/>
            <w:vAlign w:val="center"/>
          </w:tcPr>
          <w:p w14:paraId="6599D472" w14:textId="46078A5F" w:rsidR="001B5504" w:rsidRPr="00583778" w:rsidRDefault="00583778" w:rsidP="00BF212E">
            <w:pPr>
              <w:jc w:val="center"/>
              <w:rPr>
                <w:rFonts w:ascii="Titillium Web" w:hAnsi="Titillium Web"/>
                <w:szCs w:val="24"/>
              </w:rPr>
            </w:pPr>
            <w:r w:rsidRPr="00583778">
              <w:rPr>
                <w:rFonts w:ascii="Titillium Web" w:hAnsi="Titillium Web"/>
                <w:szCs w:val="24"/>
              </w:rPr>
              <w:t>/</w:t>
            </w:r>
          </w:p>
        </w:tc>
      </w:tr>
      <w:tr w:rsidR="001B5504" w:rsidRPr="00583778" w14:paraId="28E05F99" w14:textId="77777777" w:rsidTr="001B5504">
        <w:trPr>
          <w:jc w:val="center"/>
        </w:trPr>
        <w:tc>
          <w:tcPr>
            <w:tcW w:w="1650" w:type="pct"/>
            <w:vAlign w:val="center"/>
          </w:tcPr>
          <w:p w14:paraId="6ECF1BD4" w14:textId="77777777" w:rsidR="001B5504" w:rsidRPr="00583778" w:rsidRDefault="001B5504" w:rsidP="001F2833">
            <w:pPr>
              <w:spacing w:before="120" w:after="120"/>
              <w:jc w:val="center"/>
              <w:rPr>
                <w:rFonts w:ascii="Titillium Web" w:hAnsi="Titillium Web"/>
                <w:smallCaps/>
                <w:szCs w:val="24"/>
              </w:rPr>
            </w:pPr>
            <w:r w:rsidRPr="00583778">
              <w:rPr>
                <w:rFonts w:ascii="Titillium Web" w:hAnsi="Titillium Web"/>
                <w:smallCaps/>
                <w:szCs w:val="24"/>
              </w:rPr>
              <w:t>Giornale di scavo (GdS)</w:t>
            </w:r>
          </w:p>
        </w:tc>
        <w:tc>
          <w:tcPr>
            <w:tcW w:w="3350" w:type="pct"/>
            <w:vAlign w:val="center"/>
          </w:tcPr>
          <w:p w14:paraId="1C0B2D51" w14:textId="77777777" w:rsidR="00CA7312" w:rsidRPr="00583778" w:rsidRDefault="00CA7312" w:rsidP="00CA7312">
            <w:pPr>
              <w:rPr>
                <w:rFonts w:ascii="Titillium Web" w:hAnsi="Titillium Web" w:cs="Times New Roman"/>
                <w:i/>
                <w:iCs/>
                <w:szCs w:val="24"/>
              </w:rPr>
            </w:pPr>
            <w:r w:rsidRPr="00583778">
              <w:rPr>
                <w:rFonts w:ascii="Titillium Web" w:hAnsi="Titillium Web" w:cs="Times New Roman"/>
                <w:i/>
                <w:iCs/>
                <w:szCs w:val="24"/>
              </w:rPr>
              <w:t>(umata?) Tomba IX 132 Scolo B</w:t>
            </w:r>
          </w:p>
          <w:p w14:paraId="73D64614" w14:textId="77777777" w:rsidR="00CA7312" w:rsidRPr="00583778" w:rsidRDefault="00CA7312" w:rsidP="00CA7312">
            <w:pPr>
              <w:rPr>
                <w:rFonts w:ascii="Titillium Web" w:hAnsi="Titillium Web" w:cs="Times New Roman"/>
                <w:i/>
                <w:iCs/>
                <w:szCs w:val="24"/>
              </w:rPr>
            </w:pPr>
            <w:r w:rsidRPr="00583778">
              <w:rPr>
                <w:rFonts w:ascii="Titillium Web" w:hAnsi="Titillium Web" w:cs="Times New Roman"/>
                <w:i/>
                <w:iCs/>
                <w:szCs w:val="24"/>
              </w:rPr>
              <w:t>Li presso un po’ più a Nord, un’altra squadra di operai rinveniva altra tomba che consegnava al comando della polizia municipale; nella tomba erano i seguenti oggetti:</w:t>
            </w:r>
          </w:p>
          <w:p w14:paraId="7E4B5C4E" w14:textId="120B9F90" w:rsidR="00CA7312" w:rsidRPr="00583778" w:rsidRDefault="00CA7312" w:rsidP="00CA7312">
            <w:pPr>
              <w:rPr>
                <w:rFonts w:ascii="Titillium Web" w:hAnsi="Titillium Web" w:cs="Times New Roman"/>
                <w:i/>
                <w:iCs/>
                <w:szCs w:val="24"/>
              </w:rPr>
            </w:pPr>
            <w:r w:rsidRPr="00583778">
              <w:rPr>
                <w:rFonts w:ascii="Titillium Web" w:hAnsi="Titillium Web" w:cs="Times New Roman"/>
                <w:i/>
                <w:iCs/>
                <w:szCs w:val="24"/>
              </w:rPr>
              <w:t xml:space="preserve">- </w:t>
            </w:r>
            <w:r w:rsidRPr="00583778">
              <w:rPr>
                <w:rFonts w:ascii="Titillium Web" w:hAnsi="Titillium Web" w:cs="Times New Roman"/>
                <w:i/>
                <w:iCs/>
                <w:szCs w:val="24"/>
                <w:u w:val="single"/>
              </w:rPr>
              <w:t>un candelabro di bronzo</w:t>
            </w:r>
            <w:r w:rsidRPr="00583778">
              <w:rPr>
                <w:rFonts w:ascii="Titillium Web" w:hAnsi="Titillium Web" w:cs="Times New Roman"/>
                <w:i/>
                <w:iCs/>
                <w:szCs w:val="24"/>
              </w:rPr>
              <w:t xml:space="preserve"> a 3 piedi con raggiera a 4 branche e statuetta di personaggio ammantato -: intero alto 0,97</w:t>
            </w:r>
          </w:p>
          <w:p w14:paraId="2C212408" w14:textId="77777777" w:rsidR="00CA7312" w:rsidRPr="00583778" w:rsidRDefault="00CA7312" w:rsidP="00CA7312">
            <w:pPr>
              <w:rPr>
                <w:rFonts w:ascii="Titillium Web" w:hAnsi="Titillium Web" w:cs="Times New Roman"/>
                <w:i/>
                <w:iCs/>
                <w:szCs w:val="24"/>
              </w:rPr>
            </w:pPr>
            <w:r w:rsidRPr="00583778">
              <w:rPr>
                <w:rFonts w:ascii="Titillium Web" w:hAnsi="Titillium Web" w:cs="Times New Roman"/>
                <w:i/>
                <w:iCs/>
                <w:szCs w:val="24"/>
              </w:rPr>
              <w:t xml:space="preserve">- </w:t>
            </w:r>
            <w:r w:rsidRPr="00583778">
              <w:rPr>
                <w:rFonts w:ascii="Titillium Web" w:hAnsi="Titillium Web" w:cs="Times New Roman"/>
                <w:i/>
                <w:iCs/>
                <w:szCs w:val="24"/>
                <w:u w:val="single"/>
              </w:rPr>
              <w:t>un oggetto di bronzo</w:t>
            </w:r>
            <w:r w:rsidRPr="00583778">
              <w:rPr>
                <w:rFonts w:ascii="Titillium Web" w:hAnsi="Titillium Web" w:cs="Times New Roman"/>
                <w:i/>
                <w:iCs/>
                <w:szCs w:val="24"/>
              </w:rPr>
              <w:t xml:space="preserve"> di forma di altro (</w:t>
            </w:r>
            <w:proofErr w:type="gramStart"/>
            <w:r w:rsidRPr="00583778">
              <w:rPr>
                <w:rFonts w:ascii="Titillium Web" w:hAnsi="Titillium Web" w:cs="Times New Roman"/>
                <w:i/>
                <w:iCs/>
                <w:szCs w:val="24"/>
              </w:rPr>
              <w:t>V°</w:t>
            </w:r>
            <w:proofErr w:type="gramEnd"/>
            <w:r w:rsidRPr="00583778">
              <w:rPr>
                <w:rFonts w:ascii="Titillium Web" w:hAnsi="Titillium Web" w:cs="Times New Roman"/>
                <w:i/>
                <w:iCs/>
                <w:szCs w:val="24"/>
              </w:rPr>
              <w:t xml:space="preserve"> bis): lungo 0,37</w:t>
            </w:r>
          </w:p>
          <w:p w14:paraId="0E701EF3" w14:textId="1976CEAE" w:rsidR="00CA7312" w:rsidRPr="00583778" w:rsidRDefault="00CA7312" w:rsidP="00CA7312">
            <w:pPr>
              <w:rPr>
                <w:rFonts w:ascii="Titillium Web" w:hAnsi="Titillium Web" w:cs="Times New Roman"/>
                <w:i/>
                <w:iCs/>
                <w:szCs w:val="24"/>
              </w:rPr>
            </w:pPr>
            <w:r w:rsidRPr="00583778">
              <w:rPr>
                <w:rFonts w:ascii="Titillium Web" w:hAnsi="Titillium Web" w:cs="Times New Roman"/>
                <w:i/>
                <w:iCs/>
                <w:szCs w:val="24"/>
              </w:rPr>
              <w:t xml:space="preserve">- </w:t>
            </w:r>
            <w:r w:rsidRPr="00583778">
              <w:rPr>
                <w:rFonts w:ascii="Titillium Web" w:hAnsi="Titillium Web" w:cs="Times New Roman"/>
                <w:i/>
                <w:iCs/>
                <w:szCs w:val="24"/>
                <w:u w:val="single"/>
              </w:rPr>
              <w:t xml:space="preserve">2 </w:t>
            </w:r>
            <w:proofErr w:type="spellStart"/>
            <w:r w:rsidRPr="00583778">
              <w:rPr>
                <w:rFonts w:ascii="Titillium Web" w:hAnsi="Titillium Web" w:cs="Times New Roman"/>
                <w:i/>
                <w:iCs/>
                <w:szCs w:val="24"/>
                <w:u w:val="single"/>
              </w:rPr>
              <w:t>oinocoi</w:t>
            </w:r>
            <w:proofErr w:type="spellEnd"/>
            <w:r w:rsidRPr="00583778">
              <w:rPr>
                <w:rFonts w:ascii="Titillium Web" w:hAnsi="Titillium Web" w:cs="Times New Roman"/>
                <w:i/>
                <w:iCs/>
                <w:szCs w:val="24"/>
                <w:u w:val="single"/>
              </w:rPr>
              <w:t xml:space="preserve"> a bocca tril</w:t>
            </w:r>
            <w:r w:rsidRPr="00583778">
              <w:rPr>
                <w:rFonts w:ascii="Titillium Web" w:hAnsi="Titillium Web" w:cs="Times New Roman"/>
                <w:i/>
                <w:iCs/>
                <w:szCs w:val="24"/>
              </w:rPr>
              <w:t xml:space="preserve">obata </w:t>
            </w:r>
            <w:proofErr w:type="gramStart"/>
            <w:r w:rsidRPr="00583778">
              <w:rPr>
                <w:rFonts w:ascii="Titillium Web" w:hAnsi="Titillium Web" w:cs="Times New Roman"/>
                <w:i/>
                <w:iCs/>
                <w:szCs w:val="24"/>
              </w:rPr>
              <w:t>a</w:t>
            </w:r>
            <w:proofErr w:type="gramEnd"/>
            <w:r w:rsidRPr="00583778">
              <w:rPr>
                <w:rFonts w:ascii="Titillium Web" w:hAnsi="Titillium Web" w:cs="Times New Roman"/>
                <w:i/>
                <w:iCs/>
                <w:szCs w:val="24"/>
              </w:rPr>
              <w:t xml:space="preserve"> ansa verticale a v.n. con nel ventre disegnata una figura, nell’uno di donna che offre una cassettina, nell’altro di un giovane ammantato; uno di essi è frammentario nell’ansa una ricomponibile. – alti 0,22.</w:t>
            </w:r>
          </w:p>
          <w:p w14:paraId="7E601429" w14:textId="77777777" w:rsidR="00CA7312" w:rsidRPr="00583778" w:rsidRDefault="00CA7312" w:rsidP="00CA7312">
            <w:pPr>
              <w:rPr>
                <w:rFonts w:ascii="Titillium Web" w:hAnsi="Titillium Web" w:cs="Times New Roman"/>
                <w:i/>
                <w:iCs/>
                <w:szCs w:val="24"/>
              </w:rPr>
            </w:pPr>
            <w:r w:rsidRPr="00583778">
              <w:rPr>
                <w:rFonts w:ascii="Titillium Web" w:hAnsi="Titillium Web" w:cs="Times New Roman"/>
                <w:i/>
                <w:iCs/>
                <w:szCs w:val="24"/>
              </w:rPr>
              <w:t>-</w:t>
            </w:r>
            <w:r w:rsidRPr="00583778">
              <w:rPr>
                <w:rFonts w:ascii="Titillium Web" w:hAnsi="Titillium Web" w:cs="Times New Roman"/>
                <w:i/>
                <w:iCs/>
                <w:szCs w:val="24"/>
                <w:u w:val="single"/>
              </w:rPr>
              <w:t xml:space="preserve"> un vaso a bicc</w:t>
            </w:r>
            <w:r w:rsidRPr="00583778">
              <w:rPr>
                <w:rFonts w:ascii="Titillium Web" w:hAnsi="Titillium Web" w:cs="Times New Roman"/>
                <w:i/>
                <w:iCs/>
                <w:szCs w:val="24"/>
              </w:rPr>
              <w:t xml:space="preserve">hiere con due anse verticali; a v.n. e con disegni di riquadri </w:t>
            </w:r>
          </w:p>
          <w:p w14:paraId="46F25876" w14:textId="04D9FCF9" w:rsidR="00CA7312" w:rsidRPr="00583778" w:rsidRDefault="00CA7312" w:rsidP="00CA7312">
            <w:pPr>
              <w:rPr>
                <w:rFonts w:ascii="Titillium Web" w:hAnsi="Titillium Web" w:cs="Times New Roman"/>
                <w:szCs w:val="24"/>
              </w:rPr>
            </w:pPr>
            <w:r w:rsidRPr="00583778">
              <w:rPr>
                <w:rFonts w:ascii="Titillium Web" w:hAnsi="Titillium Web" w:cs="Times New Roman"/>
                <w:i/>
                <w:iCs/>
                <w:szCs w:val="24"/>
              </w:rPr>
              <w:t>È intero e misura 0,12 (altezza)</w:t>
            </w:r>
          </w:p>
          <w:p w14:paraId="5A38928A" w14:textId="77777777" w:rsidR="00CA7312" w:rsidRPr="00583778" w:rsidRDefault="00CA7312" w:rsidP="00CA7312">
            <w:pPr>
              <w:rPr>
                <w:rFonts w:ascii="Titillium Web" w:hAnsi="Titillium Web" w:cs="Times New Roman"/>
                <w:i/>
                <w:iCs/>
                <w:szCs w:val="24"/>
              </w:rPr>
            </w:pPr>
            <w:r w:rsidRPr="00583778">
              <w:rPr>
                <w:rFonts w:ascii="Titillium Web" w:hAnsi="Titillium Web" w:cs="Times New Roman"/>
                <w:i/>
                <w:iCs/>
                <w:szCs w:val="24"/>
              </w:rPr>
              <w:t xml:space="preserve">- </w:t>
            </w:r>
            <w:r w:rsidRPr="00583778">
              <w:rPr>
                <w:rFonts w:ascii="Titillium Web" w:hAnsi="Titillium Web" w:cs="Times New Roman"/>
                <w:i/>
                <w:iCs/>
                <w:szCs w:val="24"/>
                <w:u w:val="single"/>
              </w:rPr>
              <w:t>una kylix figurata</w:t>
            </w:r>
            <w:r w:rsidRPr="00583778">
              <w:rPr>
                <w:rFonts w:ascii="Titillium Web" w:hAnsi="Titillium Web" w:cs="Times New Roman"/>
                <w:i/>
                <w:iCs/>
                <w:szCs w:val="24"/>
              </w:rPr>
              <w:t xml:space="preserve"> (r.) frammentaria presso le anse ma ricomponibile; mancano i manici</w:t>
            </w:r>
          </w:p>
          <w:p w14:paraId="475A92A5" w14:textId="75453918" w:rsidR="00CA7312" w:rsidRPr="00583778" w:rsidRDefault="00CA7312" w:rsidP="00CA7312">
            <w:pPr>
              <w:rPr>
                <w:rFonts w:ascii="Titillium Web" w:hAnsi="Titillium Web" w:cs="Times New Roman"/>
                <w:i/>
                <w:iCs/>
                <w:szCs w:val="24"/>
              </w:rPr>
            </w:pPr>
            <w:r w:rsidRPr="00583778">
              <w:rPr>
                <w:rFonts w:ascii="Titillium Web" w:hAnsi="Titillium Web" w:cs="Times New Roman"/>
                <w:i/>
                <w:iCs/>
                <w:szCs w:val="24"/>
              </w:rPr>
              <w:t xml:space="preserve">Nel medaglione un giovane ignudo che regge nella </w:t>
            </w:r>
            <w:proofErr w:type="spellStart"/>
            <w:r w:rsidRPr="00583778">
              <w:rPr>
                <w:rFonts w:ascii="Titillium Web" w:hAnsi="Titillium Web" w:cs="Times New Roman"/>
                <w:i/>
                <w:iCs/>
                <w:szCs w:val="24"/>
              </w:rPr>
              <w:t>sin</w:t>
            </w:r>
            <w:proofErr w:type="spellEnd"/>
            <w:r w:rsidRPr="00583778">
              <w:rPr>
                <w:rFonts w:ascii="Titillium Web" w:hAnsi="Titillium Web" w:cs="Times New Roman"/>
                <w:i/>
                <w:iCs/>
                <w:szCs w:val="24"/>
              </w:rPr>
              <w:t xml:space="preserve">. un’oggetto che non si </w:t>
            </w:r>
            <w:proofErr w:type="spellStart"/>
            <w:r w:rsidRPr="00583778">
              <w:rPr>
                <w:rFonts w:ascii="Titillium Web" w:hAnsi="Titillium Web" w:cs="Times New Roman"/>
                <w:i/>
                <w:iCs/>
                <w:szCs w:val="24"/>
              </w:rPr>
              <w:t>discerne</w:t>
            </w:r>
            <w:proofErr w:type="spellEnd"/>
            <w:r w:rsidRPr="00583778">
              <w:rPr>
                <w:rFonts w:ascii="Titillium Web" w:hAnsi="Titillium Web" w:cs="Times New Roman"/>
                <w:i/>
                <w:iCs/>
                <w:szCs w:val="24"/>
              </w:rPr>
              <w:t xml:space="preserve"> bene; nel rovescio scene di palestra. La kylix ha un diam. di 0,215</w:t>
            </w:r>
          </w:p>
          <w:p w14:paraId="78B8ADF6" w14:textId="77777777" w:rsidR="00CA7312" w:rsidRPr="00583778" w:rsidRDefault="00CA7312" w:rsidP="00CA7312">
            <w:pPr>
              <w:rPr>
                <w:rFonts w:ascii="Titillium Web" w:hAnsi="Titillium Web" w:cs="Times New Roman"/>
                <w:i/>
                <w:iCs/>
                <w:szCs w:val="24"/>
              </w:rPr>
            </w:pPr>
            <w:r w:rsidRPr="00583778">
              <w:rPr>
                <w:rFonts w:ascii="Titillium Web" w:hAnsi="Titillium Web" w:cs="Times New Roman"/>
                <w:i/>
                <w:iCs/>
                <w:szCs w:val="24"/>
              </w:rPr>
              <w:t>-</w:t>
            </w:r>
            <w:r w:rsidRPr="00583778">
              <w:rPr>
                <w:rFonts w:ascii="Titillium Web" w:hAnsi="Titillium Web" w:cs="Times New Roman"/>
                <w:i/>
                <w:iCs/>
                <w:szCs w:val="24"/>
                <w:u w:val="single"/>
              </w:rPr>
              <w:t xml:space="preserve"> tazza a </w:t>
            </w:r>
            <w:proofErr w:type="spellStart"/>
            <w:r w:rsidRPr="00583778">
              <w:rPr>
                <w:rFonts w:ascii="Titillium Web" w:hAnsi="Titillium Web" w:cs="Times New Roman"/>
                <w:i/>
                <w:iCs/>
                <w:szCs w:val="24"/>
                <w:u w:val="single"/>
              </w:rPr>
              <w:t>ver.n</w:t>
            </w:r>
            <w:proofErr w:type="spellEnd"/>
            <w:r w:rsidRPr="00583778">
              <w:rPr>
                <w:rFonts w:ascii="Titillium Web" w:hAnsi="Titillium Web" w:cs="Times New Roman"/>
                <w:i/>
                <w:iCs/>
                <w:szCs w:val="24"/>
                <w:u w:val="single"/>
              </w:rPr>
              <w:t xml:space="preserve">., </w:t>
            </w:r>
            <w:r w:rsidRPr="00583778">
              <w:rPr>
                <w:rFonts w:ascii="Titillium Web" w:hAnsi="Titillium Web" w:cs="Times New Roman"/>
                <w:i/>
                <w:iCs/>
                <w:szCs w:val="24"/>
              </w:rPr>
              <w:t>frammentaria – (mancano i pezzi)</w:t>
            </w:r>
          </w:p>
          <w:p w14:paraId="5FF6B764" w14:textId="77777777" w:rsidR="00CA7312" w:rsidRPr="00583778" w:rsidRDefault="00CA7312" w:rsidP="00CA7312">
            <w:pPr>
              <w:rPr>
                <w:rFonts w:ascii="Titillium Web" w:hAnsi="Titillium Web" w:cs="Times New Roman"/>
                <w:i/>
                <w:iCs/>
                <w:szCs w:val="24"/>
              </w:rPr>
            </w:pPr>
            <w:r w:rsidRPr="00583778">
              <w:rPr>
                <w:rFonts w:ascii="Titillium Web" w:hAnsi="Titillium Web" w:cs="Times New Roman"/>
                <w:i/>
                <w:iCs/>
                <w:szCs w:val="24"/>
              </w:rPr>
              <w:t xml:space="preserve">- </w:t>
            </w:r>
            <w:r w:rsidRPr="00583778">
              <w:rPr>
                <w:rFonts w:ascii="Titillium Web" w:hAnsi="Titillium Web" w:cs="Times New Roman"/>
                <w:i/>
                <w:iCs/>
                <w:szCs w:val="24"/>
                <w:u w:val="single"/>
              </w:rPr>
              <w:t xml:space="preserve">idem con nel </w:t>
            </w:r>
            <w:r w:rsidRPr="00583778">
              <w:rPr>
                <w:rFonts w:ascii="Titillium Web" w:hAnsi="Titillium Web" w:cs="Times New Roman"/>
                <w:i/>
                <w:iCs/>
                <w:szCs w:val="24"/>
              </w:rPr>
              <w:t>medaglione disegnato un cavallo alato – (frammentaria senza i pezzi –)</w:t>
            </w:r>
          </w:p>
          <w:p w14:paraId="214DFC0C" w14:textId="5BEB37B2" w:rsidR="00CA7312" w:rsidRPr="00583778" w:rsidRDefault="00CA7312" w:rsidP="00CA7312">
            <w:pPr>
              <w:rPr>
                <w:rFonts w:ascii="Titillium Web" w:hAnsi="Titillium Web" w:cs="Times New Roman"/>
                <w:i/>
                <w:iCs/>
                <w:szCs w:val="24"/>
              </w:rPr>
            </w:pPr>
            <w:r w:rsidRPr="00583778">
              <w:rPr>
                <w:rFonts w:ascii="Titillium Web" w:hAnsi="Titillium Web" w:cs="Times New Roman"/>
                <w:i/>
                <w:iCs/>
                <w:szCs w:val="24"/>
              </w:rPr>
              <w:t>-</w:t>
            </w:r>
            <w:r w:rsidRPr="00583778">
              <w:rPr>
                <w:rFonts w:ascii="Titillium Web" w:hAnsi="Titillium Web" w:cs="Times New Roman"/>
                <w:i/>
                <w:iCs/>
                <w:szCs w:val="24"/>
                <w:u w:val="single"/>
              </w:rPr>
              <w:t xml:space="preserve"> 2 </w:t>
            </w:r>
            <w:proofErr w:type="spellStart"/>
            <w:r w:rsidRPr="00583778">
              <w:rPr>
                <w:rFonts w:ascii="Titillium Web" w:hAnsi="Titillium Web" w:cs="Times New Roman"/>
                <w:i/>
                <w:iCs/>
                <w:szCs w:val="24"/>
                <w:u w:val="single"/>
              </w:rPr>
              <w:t>lucernine</w:t>
            </w:r>
            <w:proofErr w:type="spellEnd"/>
            <w:r w:rsidRPr="00583778">
              <w:rPr>
                <w:rFonts w:ascii="Titillium Web" w:hAnsi="Titillium Web" w:cs="Times New Roman"/>
                <w:i/>
                <w:iCs/>
                <w:szCs w:val="24"/>
              </w:rPr>
              <w:t xml:space="preserve"> a v.n. e con figure di animali nella parte superiore fra l’ansa. (una intera, e l’altra senz’ansa)</w:t>
            </w:r>
          </w:p>
          <w:p w14:paraId="47CB2277" w14:textId="4A3ABFF3" w:rsidR="00CA7312" w:rsidRPr="00583778" w:rsidRDefault="00CA7312" w:rsidP="00CA7312">
            <w:pPr>
              <w:rPr>
                <w:rFonts w:ascii="Titillium Web" w:hAnsi="Titillium Web" w:cs="Times New Roman"/>
                <w:szCs w:val="24"/>
              </w:rPr>
            </w:pPr>
            <w:r w:rsidRPr="00583778">
              <w:rPr>
                <w:rFonts w:ascii="Titillium Web" w:hAnsi="Titillium Web" w:cs="Times New Roman"/>
                <w:i/>
                <w:iCs/>
                <w:szCs w:val="24"/>
                <w:u w:val="single"/>
              </w:rPr>
              <w:lastRenderedPageBreak/>
              <w:t>una scodella</w:t>
            </w:r>
            <w:r w:rsidRPr="00583778">
              <w:rPr>
                <w:rFonts w:ascii="Titillium Web" w:hAnsi="Titillium Web" w:cs="Times New Roman"/>
                <w:i/>
                <w:iCs/>
                <w:szCs w:val="24"/>
              </w:rPr>
              <w:t xml:space="preserve"> intera, a v.n. con nel medaglione un disegno geometrico – diam. 0,152 (nel fondello disegno di un’anfora –)</w:t>
            </w:r>
          </w:p>
          <w:p w14:paraId="56F5FB5B" w14:textId="77777777" w:rsidR="00CA7312" w:rsidRPr="00583778" w:rsidRDefault="00CA7312" w:rsidP="00CA7312">
            <w:pPr>
              <w:rPr>
                <w:rFonts w:ascii="Titillium Web" w:hAnsi="Titillium Web" w:cs="Times New Roman"/>
                <w:i/>
                <w:iCs/>
                <w:szCs w:val="24"/>
              </w:rPr>
            </w:pPr>
            <w:r w:rsidRPr="00583778">
              <w:rPr>
                <w:rFonts w:ascii="Titillium Web" w:hAnsi="Titillium Web" w:cs="Times New Roman"/>
                <w:i/>
                <w:iCs/>
                <w:szCs w:val="24"/>
              </w:rPr>
              <w:t xml:space="preserve">- </w:t>
            </w:r>
            <w:r w:rsidRPr="00583778">
              <w:rPr>
                <w:rFonts w:ascii="Titillium Web" w:hAnsi="Titillium Web" w:cs="Times New Roman"/>
                <w:i/>
                <w:iCs/>
                <w:szCs w:val="24"/>
                <w:u w:val="single"/>
              </w:rPr>
              <w:t>3 scodelline</w:t>
            </w:r>
            <w:r w:rsidRPr="00583778">
              <w:rPr>
                <w:rFonts w:ascii="Titillium Web" w:hAnsi="Titillium Web" w:cs="Times New Roman"/>
                <w:i/>
                <w:iCs/>
                <w:szCs w:val="24"/>
              </w:rPr>
              <w:t xml:space="preserve"> a ver. n. con ansa laterale – (2 intere)</w:t>
            </w:r>
          </w:p>
          <w:p w14:paraId="1A6B7E7E" w14:textId="6CB58928" w:rsidR="001B5504" w:rsidRPr="00583778" w:rsidRDefault="00CA7312" w:rsidP="00CA7312">
            <w:pPr>
              <w:rPr>
                <w:rFonts w:ascii="Titillium Web" w:hAnsi="Titillium Web" w:cs="Times New Roman"/>
                <w:i/>
                <w:iCs/>
                <w:szCs w:val="24"/>
              </w:rPr>
            </w:pPr>
            <w:r w:rsidRPr="00583778">
              <w:rPr>
                <w:rFonts w:ascii="Titillium Web" w:hAnsi="Titillium Web" w:cs="Times New Roman"/>
                <w:i/>
                <w:iCs/>
                <w:szCs w:val="24"/>
              </w:rPr>
              <w:t xml:space="preserve">- </w:t>
            </w:r>
            <w:r w:rsidRPr="00583778">
              <w:rPr>
                <w:rFonts w:ascii="Titillium Web" w:hAnsi="Titillium Web" w:cs="Times New Roman"/>
                <w:i/>
                <w:iCs/>
                <w:szCs w:val="24"/>
                <w:u w:val="single"/>
              </w:rPr>
              <w:t>2 piattelli</w:t>
            </w:r>
            <w:r w:rsidRPr="00583778">
              <w:rPr>
                <w:rFonts w:ascii="Titillium Web" w:hAnsi="Titillium Web" w:cs="Times New Roman"/>
                <w:i/>
                <w:iCs/>
                <w:szCs w:val="24"/>
              </w:rPr>
              <w:t xml:space="preserve"> piccolini con piede, a v.n.; interi</w:t>
            </w:r>
          </w:p>
        </w:tc>
      </w:tr>
      <w:tr w:rsidR="001B5504" w:rsidRPr="00583778" w14:paraId="4CA65959" w14:textId="77777777" w:rsidTr="001B5504">
        <w:trPr>
          <w:jc w:val="center"/>
        </w:trPr>
        <w:tc>
          <w:tcPr>
            <w:tcW w:w="1650" w:type="pct"/>
            <w:vAlign w:val="center"/>
          </w:tcPr>
          <w:p w14:paraId="42C0306C"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lastRenderedPageBreak/>
              <w:t>Corredo</w:t>
            </w:r>
          </w:p>
        </w:tc>
        <w:tc>
          <w:tcPr>
            <w:tcW w:w="3350" w:type="pct"/>
            <w:vAlign w:val="center"/>
          </w:tcPr>
          <w:p w14:paraId="384563B8" w14:textId="5422BB41" w:rsidR="00284318" w:rsidRPr="00583778" w:rsidRDefault="00284318" w:rsidP="00A613F9">
            <w:pPr>
              <w:jc w:val="center"/>
              <w:rPr>
                <w:rFonts w:ascii="Titillium Web" w:hAnsi="Titillium Web" w:cs="Times New Roman"/>
                <w:szCs w:val="24"/>
              </w:rPr>
            </w:pPr>
            <w:r w:rsidRPr="00583778">
              <w:rPr>
                <w:rFonts w:ascii="Titillium Web" w:hAnsi="Titillium Web" w:cs="Times New Roman"/>
                <w:szCs w:val="24"/>
              </w:rPr>
              <w:t xml:space="preserve">Sono sconosciute la posizione e l’organizzazione degli oggetti di </w:t>
            </w:r>
            <w:r w:rsidR="00F3665F" w:rsidRPr="00583778">
              <w:rPr>
                <w:rFonts w:ascii="Titillium Web" w:hAnsi="Titillium Web" w:cs="Times New Roman"/>
                <w:szCs w:val="24"/>
              </w:rPr>
              <w:t>corredo</w:t>
            </w:r>
            <w:r w:rsidRPr="00583778">
              <w:rPr>
                <w:rFonts w:ascii="Titillium Web" w:hAnsi="Titillium Web" w:cs="Times New Roman"/>
                <w:szCs w:val="24"/>
              </w:rPr>
              <w:t xml:space="preserve">. Sono stati recuperati esclusivamente vasi attici a </w:t>
            </w:r>
            <w:proofErr w:type="spellStart"/>
            <w:r w:rsidRPr="00583778">
              <w:rPr>
                <w:rFonts w:ascii="Titillium Web" w:hAnsi="Titillium Web" w:cs="Times New Roman"/>
                <w:szCs w:val="24"/>
              </w:rPr>
              <w:t>f.n</w:t>
            </w:r>
            <w:proofErr w:type="spellEnd"/>
            <w:r w:rsidRPr="00583778">
              <w:rPr>
                <w:rFonts w:ascii="Titillium Web" w:hAnsi="Titillium Web" w:cs="Times New Roman"/>
                <w:szCs w:val="24"/>
              </w:rPr>
              <w:t xml:space="preserve">., </w:t>
            </w:r>
            <w:proofErr w:type="spellStart"/>
            <w:r w:rsidRPr="00583778">
              <w:rPr>
                <w:rFonts w:ascii="Titillium Web" w:hAnsi="Titillium Web" w:cs="Times New Roman"/>
                <w:szCs w:val="24"/>
              </w:rPr>
              <w:t>f.r</w:t>
            </w:r>
            <w:proofErr w:type="spellEnd"/>
            <w:r w:rsidRPr="00583778">
              <w:rPr>
                <w:rFonts w:ascii="Titillium Web" w:hAnsi="Titillium Web" w:cs="Times New Roman"/>
                <w:szCs w:val="24"/>
              </w:rPr>
              <w:t xml:space="preserve">. e a v.n. (nn. 1-16), oltre ad un candelabro ed un graffione in bronzo (nn. 17-18). Non è chiaro quale dei due </w:t>
            </w:r>
            <w:r w:rsidRPr="00583778">
              <w:rPr>
                <w:rFonts w:ascii="Titillium Web" w:hAnsi="Titillium Web" w:cs="Times New Roman"/>
                <w:i/>
                <w:iCs/>
                <w:szCs w:val="24"/>
              </w:rPr>
              <w:t>askòi</w:t>
            </w:r>
            <w:r w:rsidRPr="00583778">
              <w:rPr>
                <w:rFonts w:ascii="Titillium Web" w:hAnsi="Titillium Web" w:cs="Times New Roman"/>
                <w:szCs w:val="24"/>
              </w:rPr>
              <w:t xml:space="preserve"> sia pertinente al corredo (nn. 6-8), poiché entrambi risultano privi dell’ansa. Analogamente, non è possibile stabilire quale delle tre ciotole monoansate frammentarie (nn. 10-13) debba essere attribuita al corredo, dal momento che nel GdS sono segnalati tre esemplari, di cui due integri. Se si ammette che uno di essi si sia fratturato in seguito, si avrebbe un esemplare in più; in caso contrario, risulterebbe mancante una ciotola integra.</w:t>
            </w:r>
          </w:p>
          <w:p w14:paraId="1BBCC00D" w14:textId="56DBF2C1" w:rsidR="00284A26" w:rsidRPr="00583778" w:rsidRDefault="00E116E6" w:rsidP="00A613F9">
            <w:pPr>
              <w:jc w:val="center"/>
              <w:rPr>
                <w:rFonts w:ascii="Titillium Web" w:hAnsi="Titillium Web"/>
                <w:szCs w:val="24"/>
              </w:rPr>
            </w:pPr>
            <w:r w:rsidRPr="00583778">
              <w:rPr>
                <w:rFonts w:ascii="Titillium Web" w:hAnsi="Titillium Web"/>
                <w:szCs w:val="24"/>
              </w:rPr>
              <w:t xml:space="preserve">1. </w:t>
            </w:r>
            <w:hyperlink r:id="rId5" w:history="1">
              <w:r w:rsidR="00284A26" w:rsidRPr="00583778">
                <w:rPr>
                  <w:rStyle w:val="Collegamentoipertestuale"/>
                  <w:rFonts w:ascii="Titillium Web" w:hAnsi="Titillium Web"/>
                  <w:b/>
                  <w:bCs/>
                  <w:szCs w:val="24"/>
                </w:rPr>
                <w:t>Oinochoe attica a bocca trilobata</w:t>
              </w:r>
            </w:hyperlink>
            <w:r w:rsidR="00284A26" w:rsidRPr="00583778">
              <w:rPr>
                <w:rFonts w:ascii="Titillium Web" w:hAnsi="Titillium Web"/>
                <w:szCs w:val="24"/>
              </w:rPr>
              <w:t xml:space="preserve"> (IG 2477; figure rosse)</w:t>
            </w:r>
          </w:p>
          <w:p w14:paraId="33208452" w14:textId="3866E293" w:rsidR="00284A26" w:rsidRPr="00583778" w:rsidRDefault="00E116E6" w:rsidP="00A613F9">
            <w:pPr>
              <w:jc w:val="center"/>
              <w:rPr>
                <w:rFonts w:ascii="Titillium Web" w:hAnsi="Titillium Web"/>
                <w:szCs w:val="24"/>
              </w:rPr>
            </w:pPr>
            <w:r w:rsidRPr="00583778">
              <w:rPr>
                <w:rFonts w:ascii="Titillium Web" w:hAnsi="Titillium Web"/>
                <w:szCs w:val="24"/>
              </w:rPr>
              <w:t xml:space="preserve">2. </w:t>
            </w:r>
            <w:hyperlink r:id="rId6" w:history="1">
              <w:r w:rsidR="00284A26" w:rsidRPr="00583778">
                <w:rPr>
                  <w:rStyle w:val="Collegamentoipertestuale"/>
                  <w:rFonts w:ascii="Titillium Web" w:hAnsi="Titillium Web"/>
                  <w:b/>
                  <w:bCs/>
                  <w:szCs w:val="24"/>
                </w:rPr>
                <w:t>Oinochoe attica a bocca trilobata</w:t>
              </w:r>
            </w:hyperlink>
            <w:r w:rsidR="00284A26" w:rsidRPr="00583778">
              <w:rPr>
                <w:rFonts w:ascii="Titillium Web" w:hAnsi="Titillium Web"/>
                <w:szCs w:val="24"/>
              </w:rPr>
              <w:t xml:space="preserve"> (IG 2478; figure rosse)</w:t>
            </w:r>
          </w:p>
          <w:p w14:paraId="01811037" w14:textId="60D8C192" w:rsidR="00284A26" w:rsidRPr="00583778" w:rsidRDefault="00D40711" w:rsidP="00A613F9">
            <w:pPr>
              <w:jc w:val="center"/>
              <w:rPr>
                <w:rFonts w:ascii="Titillium Web" w:hAnsi="Titillium Web"/>
                <w:szCs w:val="24"/>
              </w:rPr>
            </w:pPr>
            <w:r w:rsidRPr="00583778">
              <w:rPr>
                <w:rFonts w:ascii="Titillium Web" w:hAnsi="Titillium Web"/>
                <w:szCs w:val="24"/>
              </w:rPr>
              <w:t xml:space="preserve">3. </w:t>
            </w:r>
            <w:hyperlink r:id="rId7" w:history="1">
              <w:r w:rsidR="00284A26" w:rsidRPr="00583778">
                <w:rPr>
                  <w:rStyle w:val="Collegamentoipertestuale"/>
                  <w:rFonts w:ascii="Titillium Web" w:hAnsi="Titillium Web"/>
                  <w:b/>
                  <w:bCs/>
                  <w:szCs w:val="24"/>
                </w:rPr>
                <w:t>Kylix attica</w:t>
              </w:r>
            </w:hyperlink>
            <w:r w:rsidR="00284A26" w:rsidRPr="00583778">
              <w:rPr>
                <w:rFonts w:ascii="Titillium Web" w:hAnsi="Titillium Web"/>
                <w:szCs w:val="24"/>
              </w:rPr>
              <w:t xml:space="preserve"> (IG 3037; figure rosse)</w:t>
            </w:r>
          </w:p>
          <w:p w14:paraId="4F57B9F6" w14:textId="28720988" w:rsidR="00284A26" w:rsidRPr="00583778" w:rsidRDefault="00D40711" w:rsidP="00A613F9">
            <w:pPr>
              <w:jc w:val="center"/>
              <w:rPr>
                <w:rFonts w:ascii="Titillium Web" w:hAnsi="Titillium Web"/>
                <w:szCs w:val="24"/>
              </w:rPr>
            </w:pPr>
            <w:r w:rsidRPr="00583778">
              <w:rPr>
                <w:rFonts w:ascii="Titillium Web" w:hAnsi="Titillium Web"/>
                <w:szCs w:val="24"/>
              </w:rPr>
              <w:t xml:space="preserve">4. </w:t>
            </w:r>
            <w:r w:rsidR="00284A26" w:rsidRPr="00583778">
              <w:rPr>
                <w:rFonts w:ascii="Titillium Web" w:hAnsi="Titillium Web"/>
                <w:szCs w:val="24"/>
              </w:rPr>
              <w:t>Kantharos attico (IG 1136; figure rosse)</w:t>
            </w:r>
          </w:p>
          <w:p w14:paraId="7386041B" w14:textId="5939C7CC" w:rsidR="00284A26" w:rsidRPr="00583778" w:rsidRDefault="00D40711" w:rsidP="00A613F9">
            <w:pPr>
              <w:jc w:val="center"/>
              <w:rPr>
                <w:rFonts w:ascii="Titillium Web" w:hAnsi="Titillium Web"/>
                <w:szCs w:val="24"/>
              </w:rPr>
            </w:pPr>
            <w:r w:rsidRPr="00583778">
              <w:rPr>
                <w:rFonts w:ascii="Titillium Web" w:hAnsi="Titillium Web"/>
                <w:szCs w:val="24"/>
              </w:rPr>
              <w:t xml:space="preserve">5. </w:t>
            </w:r>
            <w:hyperlink r:id="rId8" w:history="1">
              <w:r w:rsidR="00284A26" w:rsidRPr="00583778">
                <w:rPr>
                  <w:rStyle w:val="Collegamentoipertestuale"/>
                  <w:rFonts w:ascii="Titillium Web" w:hAnsi="Titillium Web"/>
                  <w:b/>
                  <w:bCs/>
                  <w:szCs w:val="24"/>
                </w:rPr>
                <w:t>Piatto attico</w:t>
              </w:r>
            </w:hyperlink>
            <w:r w:rsidR="00284A26" w:rsidRPr="00583778">
              <w:rPr>
                <w:rFonts w:ascii="Titillium Web" w:hAnsi="Titillium Web"/>
                <w:szCs w:val="24"/>
              </w:rPr>
              <w:t xml:space="preserve"> (IG 1140; figure nere)</w:t>
            </w:r>
          </w:p>
          <w:p w14:paraId="77588122" w14:textId="5958507C" w:rsidR="00284A26" w:rsidRPr="00583778" w:rsidRDefault="00284A26" w:rsidP="00A613F9">
            <w:pPr>
              <w:jc w:val="center"/>
              <w:rPr>
                <w:rFonts w:ascii="Titillium Web" w:hAnsi="Titillium Web"/>
                <w:szCs w:val="24"/>
              </w:rPr>
            </w:pPr>
            <w:r w:rsidRPr="00583778">
              <w:rPr>
                <w:rFonts w:ascii="Titillium Web" w:hAnsi="Titillium Web"/>
                <w:szCs w:val="24"/>
              </w:rPr>
              <w:t xml:space="preserve">6. </w:t>
            </w:r>
            <w:r w:rsidRPr="00583778">
              <w:rPr>
                <w:rFonts w:ascii="Titillium Web" w:hAnsi="Titillium Web"/>
                <w:szCs w:val="24"/>
              </w:rPr>
              <w:t>Askòs lenticolare attico (IG 20675; figure rosse)</w:t>
            </w:r>
          </w:p>
          <w:p w14:paraId="195EE2F9" w14:textId="32F40A9D" w:rsidR="00284A26" w:rsidRPr="00583778" w:rsidRDefault="00284A26" w:rsidP="00A613F9">
            <w:pPr>
              <w:jc w:val="center"/>
              <w:rPr>
                <w:rFonts w:ascii="Titillium Web" w:hAnsi="Titillium Web"/>
                <w:szCs w:val="24"/>
              </w:rPr>
            </w:pPr>
            <w:r w:rsidRPr="00583778">
              <w:rPr>
                <w:rFonts w:ascii="Titillium Web" w:hAnsi="Titillium Web"/>
                <w:szCs w:val="24"/>
              </w:rPr>
              <w:t xml:space="preserve">7. </w:t>
            </w:r>
            <w:r w:rsidRPr="00583778">
              <w:rPr>
                <w:rFonts w:ascii="Titillium Web" w:hAnsi="Titillium Web"/>
                <w:szCs w:val="24"/>
              </w:rPr>
              <w:t>Askòs lenticolare attico (IG 20676; figure rosse)</w:t>
            </w:r>
          </w:p>
          <w:p w14:paraId="68363A67" w14:textId="4F9C3A28" w:rsidR="00284A26" w:rsidRPr="00583778" w:rsidRDefault="00284A26" w:rsidP="00A613F9">
            <w:pPr>
              <w:jc w:val="center"/>
              <w:rPr>
                <w:rFonts w:ascii="Titillium Web" w:hAnsi="Titillium Web"/>
                <w:szCs w:val="24"/>
              </w:rPr>
            </w:pPr>
            <w:r w:rsidRPr="00583778">
              <w:rPr>
                <w:rFonts w:ascii="Titillium Web" w:hAnsi="Titillium Web"/>
                <w:szCs w:val="24"/>
              </w:rPr>
              <w:t xml:space="preserve">8. </w:t>
            </w:r>
            <w:r w:rsidRPr="00583778">
              <w:rPr>
                <w:rFonts w:ascii="Titillium Web" w:hAnsi="Titillium Web"/>
                <w:szCs w:val="24"/>
              </w:rPr>
              <w:t>Askòs lenticolare attico (IG 1137; figure rosse)</w:t>
            </w:r>
          </w:p>
          <w:p w14:paraId="036B7A5B" w14:textId="354B632B" w:rsidR="00284A26" w:rsidRPr="00583778" w:rsidRDefault="00284A26" w:rsidP="00A613F9">
            <w:pPr>
              <w:jc w:val="center"/>
              <w:rPr>
                <w:rFonts w:ascii="Titillium Web" w:hAnsi="Titillium Web"/>
                <w:szCs w:val="24"/>
              </w:rPr>
            </w:pPr>
            <w:r w:rsidRPr="00583778">
              <w:rPr>
                <w:rFonts w:ascii="Titillium Web" w:hAnsi="Titillium Web"/>
                <w:szCs w:val="24"/>
              </w:rPr>
              <w:t xml:space="preserve">9. </w:t>
            </w:r>
            <w:r w:rsidRPr="00583778">
              <w:rPr>
                <w:rFonts w:ascii="Titillium Web" w:hAnsi="Titillium Web"/>
                <w:szCs w:val="24"/>
              </w:rPr>
              <w:t>Ciotola attica (IG 1135; vernice nera)</w:t>
            </w:r>
          </w:p>
          <w:p w14:paraId="4D41AEFA" w14:textId="10954250" w:rsidR="00284A26" w:rsidRPr="00583778" w:rsidRDefault="00284A26" w:rsidP="00A613F9">
            <w:pPr>
              <w:jc w:val="center"/>
              <w:rPr>
                <w:rFonts w:ascii="Titillium Web" w:hAnsi="Titillium Web"/>
                <w:szCs w:val="24"/>
              </w:rPr>
            </w:pPr>
            <w:r w:rsidRPr="00583778">
              <w:rPr>
                <w:rFonts w:ascii="Titillium Web" w:hAnsi="Titillium Web"/>
                <w:szCs w:val="24"/>
              </w:rPr>
              <w:t xml:space="preserve">10. </w:t>
            </w:r>
            <w:r w:rsidRPr="00583778">
              <w:rPr>
                <w:rFonts w:ascii="Titillium Web" w:hAnsi="Titillium Web"/>
                <w:szCs w:val="24"/>
              </w:rPr>
              <w:t>Ciotola monoansata attica (IG 28341; vernice nera)</w:t>
            </w:r>
          </w:p>
          <w:p w14:paraId="6BE29651" w14:textId="67634848" w:rsidR="00284A26" w:rsidRPr="00583778" w:rsidRDefault="00284A26" w:rsidP="00A613F9">
            <w:pPr>
              <w:jc w:val="center"/>
              <w:rPr>
                <w:rFonts w:ascii="Titillium Web" w:hAnsi="Titillium Web"/>
                <w:szCs w:val="24"/>
              </w:rPr>
            </w:pPr>
            <w:r w:rsidRPr="00583778">
              <w:rPr>
                <w:rFonts w:ascii="Titillium Web" w:hAnsi="Titillium Web"/>
                <w:szCs w:val="24"/>
              </w:rPr>
              <w:t xml:space="preserve">11. </w:t>
            </w:r>
            <w:r w:rsidRPr="00583778">
              <w:rPr>
                <w:rFonts w:ascii="Titillium Web" w:hAnsi="Titillium Web"/>
                <w:szCs w:val="24"/>
              </w:rPr>
              <w:t>Ciotola monoansata attica (IG 28339; vernice nera)</w:t>
            </w:r>
          </w:p>
          <w:p w14:paraId="6EAD9809" w14:textId="15DDB499" w:rsidR="00284A26" w:rsidRPr="00583778" w:rsidRDefault="00284A26" w:rsidP="00A613F9">
            <w:pPr>
              <w:jc w:val="center"/>
              <w:rPr>
                <w:rFonts w:ascii="Titillium Web" w:hAnsi="Titillium Web"/>
                <w:szCs w:val="24"/>
              </w:rPr>
            </w:pPr>
            <w:r w:rsidRPr="00583778">
              <w:rPr>
                <w:rFonts w:ascii="Titillium Web" w:hAnsi="Titillium Web"/>
                <w:szCs w:val="24"/>
              </w:rPr>
              <w:t xml:space="preserve">12. </w:t>
            </w:r>
            <w:r w:rsidRPr="00583778">
              <w:rPr>
                <w:rFonts w:ascii="Titillium Web" w:hAnsi="Titillium Web"/>
                <w:szCs w:val="24"/>
              </w:rPr>
              <w:t>Ciotola monoansata attica (IG 28340; vernice nera)</w:t>
            </w:r>
          </w:p>
          <w:p w14:paraId="14AE7FCB" w14:textId="29638127" w:rsidR="00284A26" w:rsidRPr="00583778" w:rsidRDefault="00284A26" w:rsidP="00A613F9">
            <w:pPr>
              <w:jc w:val="center"/>
              <w:rPr>
                <w:rFonts w:ascii="Titillium Web" w:hAnsi="Titillium Web"/>
                <w:szCs w:val="24"/>
              </w:rPr>
            </w:pPr>
            <w:r w:rsidRPr="00583778">
              <w:rPr>
                <w:rFonts w:ascii="Titillium Web" w:hAnsi="Titillium Web"/>
                <w:szCs w:val="24"/>
              </w:rPr>
              <w:t xml:space="preserve">13. </w:t>
            </w:r>
            <w:r w:rsidRPr="00583778">
              <w:rPr>
                <w:rFonts w:ascii="Titillium Web" w:hAnsi="Titillium Web"/>
                <w:szCs w:val="24"/>
              </w:rPr>
              <w:t>Ciotola monoansata attica (IG 1139; vernice nera)</w:t>
            </w:r>
          </w:p>
          <w:p w14:paraId="05693F3B" w14:textId="301A4D15" w:rsidR="00284A26" w:rsidRPr="00583778" w:rsidRDefault="00284A26" w:rsidP="00A613F9">
            <w:pPr>
              <w:jc w:val="center"/>
              <w:rPr>
                <w:rFonts w:ascii="Titillium Web" w:hAnsi="Titillium Web"/>
                <w:szCs w:val="24"/>
              </w:rPr>
            </w:pPr>
            <w:r w:rsidRPr="00583778">
              <w:rPr>
                <w:rFonts w:ascii="Titillium Web" w:hAnsi="Titillium Web"/>
                <w:szCs w:val="24"/>
              </w:rPr>
              <w:t xml:space="preserve">14. </w:t>
            </w:r>
            <w:r w:rsidRPr="00583778">
              <w:rPr>
                <w:rFonts w:ascii="Titillium Web" w:hAnsi="Titillium Web"/>
                <w:szCs w:val="24"/>
              </w:rPr>
              <w:t>Ciotola su alto piede attica (IG 20679; vernice nera)</w:t>
            </w:r>
          </w:p>
          <w:p w14:paraId="31AB5B8E" w14:textId="02D80E8D" w:rsidR="00284A26" w:rsidRPr="00583778" w:rsidRDefault="00284A26" w:rsidP="00A613F9">
            <w:pPr>
              <w:jc w:val="center"/>
              <w:rPr>
                <w:rFonts w:ascii="Titillium Web" w:hAnsi="Titillium Web"/>
                <w:szCs w:val="24"/>
              </w:rPr>
            </w:pPr>
            <w:r w:rsidRPr="00583778">
              <w:rPr>
                <w:rFonts w:ascii="Titillium Web" w:hAnsi="Titillium Web"/>
                <w:szCs w:val="24"/>
              </w:rPr>
              <w:t xml:space="preserve">15. </w:t>
            </w:r>
            <w:r w:rsidRPr="00583778">
              <w:rPr>
                <w:rFonts w:ascii="Titillium Web" w:hAnsi="Titillium Web"/>
                <w:szCs w:val="24"/>
              </w:rPr>
              <w:t>Ciotola su alto piede attica (IG 20677; vernice nera)</w:t>
            </w:r>
          </w:p>
          <w:p w14:paraId="15E41501" w14:textId="32D16876" w:rsidR="00284A26" w:rsidRPr="00583778" w:rsidRDefault="00284A26" w:rsidP="00A613F9">
            <w:pPr>
              <w:jc w:val="center"/>
              <w:rPr>
                <w:rFonts w:ascii="Titillium Web" w:hAnsi="Titillium Web"/>
                <w:szCs w:val="24"/>
              </w:rPr>
            </w:pPr>
            <w:r w:rsidRPr="00583778">
              <w:rPr>
                <w:rFonts w:ascii="Titillium Web" w:hAnsi="Titillium Web"/>
                <w:szCs w:val="24"/>
              </w:rPr>
              <w:t xml:space="preserve">16. </w:t>
            </w:r>
            <w:r w:rsidRPr="00583778">
              <w:rPr>
                <w:rFonts w:ascii="Titillium Web" w:hAnsi="Titillium Web"/>
                <w:szCs w:val="24"/>
              </w:rPr>
              <w:t>Ciotola su alto piede attica (IG 20678; vernice nera)</w:t>
            </w:r>
          </w:p>
          <w:p w14:paraId="6A06869A" w14:textId="2B6D4DA0" w:rsidR="00284A26" w:rsidRPr="00583778" w:rsidRDefault="00284A26" w:rsidP="00A613F9">
            <w:pPr>
              <w:jc w:val="center"/>
              <w:rPr>
                <w:rFonts w:ascii="Titillium Web" w:hAnsi="Titillium Web"/>
                <w:szCs w:val="24"/>
                <w:lang w:val="de-DE"/>
              </w:rPr>
            </w:pPr>
            <w:r w:rsidRPr="00583778">
              <w:rPr>
                <w:rFonts w:ascii="Titillium Web" w:hAnsi="Titillium Web"/>
                <w:szCs w:val="24"/>
                <w:lang w:val="de-DE"/>
              </w:rPr>
              <w:t xml:space="preserve">17. </w:t>
            </w:r>
            <w:proofErr w:type="spellStart"/>
            <w:r w:rsidRPr="00583778">
              <w:rPr>
                <w:rFonts w:ascii="Titillium Web" w:hAnsi="Titillium Web"/>
                <w:szCs w:val="24"/>
                <w:lang w:val="de-DE"/>
              </w:rPr>
              <w:t>Graffione</w:t>
            </w:r>
            <w:proofErr w:type="spellEnd"/>
            <w:r w:rsidRPr="00583778">
              <w:rPr>
                <w:rFonts w:ascii="Titillium Web" w:hAnsi="Titillium Web"/>
                <w:szCs w:val="24"/>
                <w:lang w:val="de-DE"/>
              </w:rPr>
              <w:t xml:space="preserve"> (IG 1138; </w:t>
            </w:r>
            <w:proofErr w:type="spellStart"/>
            <w:r w:rsidRPr="00583778">
              <w:rPr>
                <w:rFonts w:ascii="Titillium Web" w:hAnsi="Titillium Web"/>
                <w:szCs w:val="24"/>
                <w:lang w:val="de-DE"/>
              </w:rPr>
              <w:t>bronzo</w:t>
            </w:r>
            <w:proofErr w:type="spellEnd"/>
            <w:r w:rsidRPr="00583778">
              <w:rPr>
                <w:rFonts w:ascii="Titillium Web" w:hAnsi="Titillium Web"/>
                <w:szCs w:val="24"/>
                <w:lang w:val="de-DE"/>
              </w:rPr>
              <w:t>)</w:t>
            </w:r>
          </w:p>
          <w:p w14:paraId="5EE32F9C" w14:textId="369E1414" w:rsidR="001B5504" w:rsidRPr="00583778" w:rsidRDefault="00284A26" w:rsidP="00A613F9">
            <w:pPr>
              <w:jc w:val="center"/>
              <w:rPr>
                <w:rFonts w:ascii="Titillium Web" w:hAnsi="Titillium Web"/>
                <w:szCs w:val="24"/>
                <w:lang w:val="de-DE"/>
              </w:rPr>
            </w:pPr>
            <w:r w:rsidRPr="00583778">
              <w:rPr>
                <w:rFonts w:ascii="Titillium Web" w:hAnsi="Titillium Web"/>
                <w:szCs w:val="24"/>
                <w:lang w:val="de-DE"/>
              </w:rPr>
              <w:t xml:space="preserve">18. </w:t>
            </w:r>
            <w:proofErr w:type="spellStart"/>
            <w:r w:rsidRPr="00583778">
              <w:rPr>
                <w:rFonts w:ascii="Titillium Web" w:hAnsi="Titillium Web"/>
                <w:szCs w:val="24"/>
                <w:lang w:val="de-DE"/>
              </w:rPr>
              <w:t>Candelabro</w:t>
            </w:r>
            <w:proofErr w:type="spellEnd"/>
            <w:r w:rsidRPr="00583778">
              <w:rPr>
                <w:rFonts w:ascii="Titillium Web" w:hAnsi="Titillium Web"/>
                <w:szCs w:val="24"/>
                <w:lang w:val="de-DE"/>
              </w:rPr>
              <w:t xml:space="preserve"> (IG 2295; </w:t>
            </w:r>
            <w:proofErr w:type="spellStart"/>
            <w:r w:rsidRPr="00583778">
              <w:rPr>
                <w:rFonts w:ascii="Titillium Web" w:hAnsi="Titillium Web"/>
                <w:szCs w:val="24"/>
                <w:lang w:val="de-DE"/>
              </w:rPr>
              <w:t>bronzo</w:t>
            </w:r>
            <w:proofErr w:type="spellEnd"/>
            <w:r w:rsidRPr="00583778">
              <w:rPr>
                <w:rFonts w:ascii="Titillium Web" w:hAnsi="Titillium Web"/>
                <w:szCs w:val="24"/>
                <w:lang w:val="de-DE"/>
              </w:rPr>
              <w:t>)</w:t>
            </w:r>
          </w:p>
        </w:tc>
      </w:tr>
      <w:tr w:rsidR="001B5504" w:rsidRPr="00583778" w14:paraId="520D9732" w14:textId="77777777" w:rsidTr="001B5504">
        <w:trPr>
          <w:jc w:val="center"/>
        </w:trPr>
        <w:tc>
          <w:tcPr>
            <w:tcW w:w="1650" w:type="pct"/>
            <w:vAlign w:val="center"/>
          </w:tcPr>
          <w:p w14:paraId="24BE97D5"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t>Posizione del corredo</w:t>
            </w:r>
          </w:p>
        </w:tc>
        <w:tc>
          <w:tcPr>
            <w:tcW w:w="3350" w:type="pct"/>
            <w:vAlign w:val="center"/>
          </w:tcPr>
          <w:p w14:paraId="3ED37A74" w14:textId="6F782FB2" w:rsidR="001B5504" w:rsidRPr="00583778" w:rsidRDefault="00A613F9" w:rsidP="00BF212E">
            <w:pPr>
              <w:jc w:val="center"/>
              <w:rPr>
                <w:rFonts w:ascii="Titillium Web" w:hAnsi="Titillium Web"/>
                <w:szCs w:val="24"/>
              </w:rPr>
            </w:pPr>
            <w:r w:rsidRPr="00583778">
              <w:rPr>
                <w:rFonts w:ascii="Titillium Web" w:hAnsi="Titillium Web"/>
                <w:szCs w:val="24"/>
              </w:rPr>
              <w:t>Non determinabile</w:t>
            </w:r>
          </w:p>
        </w:tc>
      </w:tr>
      <w:tr w:rsidR="001B5504" w:rsidRPr="00583778" w14:paraId="05ACB002" w14:textId="77777777" w:rsidTr="001B5504">
        <w:trPr>
          <w:jc w:val="center"/>
        </w:trPr>
        <w:tc>
          <w:tcPr>
            <w:tcW w:w="1650" w:type="pct"/>
            <w:vAlign w:val="center"/>
          </w:tcPr>
          <w:p w14:paraId="6E6E37F2"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lastRenderedPageBreak/>
              <w:t>Stato di conservazione e affidabilità del corredo</w:t>
            </w:r>
          </w:p>
        </w:tc>
        <w:tc>
          <w:tcPr>
            <w:tcW w:w="3350" w:type="pct"/>
            <w:vAlign w:val="center"/>
          </w:tcPr>
          <w:p w14:paraId="66E8A271" w14:textId="2C114B91" w:rsidR="001B5504" w:rsidRPr="00583778" w:rsidRDefault="00463DC3" w:rsidP="00BF212E">
            <w:pPr>
              <w:jc w:val="center"/>
              <w:rPr>
                <w:rFonts w:ascii="Titillium Web" w:hAnsi="Titillium Web"/>
                <w:szCs w:val="24"/>
              </w:rPr>
            </w:pPr>
            <w:r w:rsidRPr="00583778">
              <w:rPr>
                <w:rFonts w:ascii="Titillium Web" w:hAnsi="Titillium Web"/>
                <w:szCs w:val="24"/>
              </w:rPr>
              <w:t xml:space="preserve">Al corredo sono stati attribuiti in un secondo momento, due vasi – un’oinochoe attica a </w:t>
            </w:r>
            <w:proofErr w:type="spellStart"/>
            <w:r w:rsidRPr="00583778">
              <w:rPr>
                <w:rFonts w:ascii="Titillium Web" w:hAnsi="Titillium Web"/>
                <w:szCs w:val="24"/>
              </w:rPr>
              <w:t>f.r</w:t>
            </w:r>
            <w:proofErr w:type="spellEnd"/>
            <w:r w:rsidRPr="00583778">
              <w:rPr>
                <w:rFonts w:ascii="Titillium Web" w:hAnsi="Titillium Web"/>
                <w:szCs w:val="24"/>
              </w:rPr>
              <w:t>. ed un alabastron in alabastro – non menzionati infatti nel GdS.</w:t>
            </w:r>
          </w:p>
        </w:tc>
      </w:tr>
      <w:tr w:rsidR="001B5504" w:rsidRPr="00583778" w14:paraId="6E424069" w14:textId="77777777" w:rsidTr="001B5504">
        <w:trPr>
          <w:jc w:val="center"/>
        </w:trPr>
        <w:tc>
          <w:tcPr>
            <w:tcW w:w="1650" w:type="pct"/>
            <w:vAlign w:val="center"/>
          </w:tcPr>
          <w:p w14:paraId="4CE8DFDE"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t>Genere (legato all’analisi del corredo)</w:t>
            </w:r>
          </w:p>
        </w:tc>
        <w:tc>
          <w:tcPr>
            <w:tcW w:w="3350" w:type="pct"/>
            <w:vAlign w:val="center"/>
          </w:tcPr>
          <w:p w14:paraId="04E55D8B" w14:textId="15D5D226" w:rsidR="001B5504" w:rsidRPr="00583778" w:rsidRDefault="001B5504" w:rsidP="00BF212E">
            <w:pPr>
              <w:jc w:val="center"/>
              <w:rPr>
                <w:rFonts w:ascii="Titillium Web" w:hAnsi="Titillium Web"/>
                <w:szCs w:val="24"/>
              </w:rPr>
            </w:pPr>
            <w:r w:rsidRPr="00583778">
              <w:rPr>
                <w:rFonts w:ascii="Titillium Web" w:hAnsi="Titillium Web"/>
                <w:szCs w:val="24"/>
              </w:rPr>
              <w:t>Non determinabile</w:t>
            </w:r>
          </w:p>
        </w:tc>
      </w:tr>
      <w:tr w:rsidR="001B5504" w:rsidRPr="00583778" w14:paraId="7C1BF645" w14:textId="77777777" w:rsidTr="001B5504">
        <w:trPr>
          <w:jc w:val="center"/>
        </w:trPr>
        <w:tc>
          <w:tcPr>
            <w:tcW w:w="1650" w:type="pct"/>
            <w:vAlign w:val="center"/>
          </w:tcPr>
          <w:p w14:paraId="7EADEEB5"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t>Sesso (legato alle analisi antropologiche)</w:t>
            </w:r>
          </w:p>
        </w:tc>
        <w:tc>
          <w:tcPr>
            <w:tcW w:w="3350" w:type="pct"/>
            <w:vAlign w:val="center"/>
          </w:tcPr>
          <w:p w14:paraId="5D17FB99" w14:textId="46EBB367" w:rsidR="001B5504" w:rsidRPr="00583778" w:rsidRDefault="001B5504" w:rsidP="00BF212E">
            <w:pPr>
              <w:jc w:val="center"/>
              <w:rPr>
                <w:rFonts w:ascii="Titillium Web" w:hAnsi="Titillium Web"/>
                <w:szCs w:val="24"/>
              </w:rPr>
            </w:pPr>
            <w:r w:rsidRPr="00583778">
              <w:rPr>
                <w:rFonts w:ascii="Titillium Web" w:hAnsi="Titillium Web"/>
                <w:szCs w:val="24"/>
              </w:rPr>
              <w:t>Non determinabile</w:t>
            </w:r>
          </w:p>
        </w:tc>
      </w:tr>
      <w:tr w:rsidR="001B5504" w:rsidRPr="00583778" w14:paraId="498C4222" w14:textId="77777777" w:rsidTr="001B5504">
        <w:trPr>
          <w:jc w:val="center"/>
        </w:trPr>
        <w:tc>
          <w:tcPr>
            <w:tcW w:w="1650" w:type="pct"/>
            <w:vAlign w:val="center"/>
          </w:tcPr>
          <w:p w14:paraId="57C39F2A"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t>Classi di età</w:t>
            </w:r>
          </w:p>
        </w:tc>
        <w:tc>
          <w:tcPr>
            <w:tcW w:w="3350" w:type="pct"/>
            <w:vAlign w:val="center"/>
          </w:tcPr>
          <w:p w14:paraId="3FA8CB4E" w14:textId="5B4E47B7" w:rsidR="001B5504" w:rsidRPr="00583778" w:rsidRDefault="001B5504" w:rsidP="00BF212E">
            <w:pPr>
              <w:jc w:val="center"/>
              <w:rPr>
                <w:rFonts w:ascii="Titillium Web" w:hAnsi="Titillium Web"/>
                <w:szCs w:val="24"/>
              </w:rPr>
            </w:pPr>
            <w:proofErr w:type="gramStart"/>
            <w:r w:rsidRPr="00583778">
              <w:rPr>
                <w:rFonts w:ascii="Titillium Web" w:hAnsi="Titillium Web"/>
                <w:szCs w:val="24"/>
              </w:rPr>
              <w:t>Adulto ?</w:t>
            </w:r>
            <w:proofErr w:type="gramEnd"/>
          </w:p>
        </w:tc>
      </w:tr>
      <w:tr w:rsidR="001B5504" w:rsidRPr="00583778" w14:paraId="698056B7" w14:textId="77777777" w:rsidTr="001B5504">
        <w:trPr>
          <w:jc w:val="center"/>
        </w:trPr>
        <w:tc>
          <w:tcPr>
            <w:tcW w:w="1650" w:type="pct"/>
            <w:vAlign w:val="center"/>
          </w:tcPr>
          <w:p w14:paraId="225E12C1"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t>Cronologia</w:t>
            </w:r>
          </w:p>
        </w:tc>
        <w:tc>
          <w:tcPr>
            <w:tcW w:w="3350" w:type="pct"/>
            <w:vAlign w:val="center"/>
          </w:tcPr>
          <w:p w14:paraId="440AB2F6" w14:textId="65221464" w:rsidR="001B5504" w:rsidRPr="00583778" w:rsidRDefault="001B5504" w:rsidP="00BF212E">
            <w:pPr>
              <w:jc w:val="center"/>
              <w:rPr>
                <w:rFonts w:ascii="Titillium Web" w:hAnsi="Titillium Web"/>
                <w:szCs w:val="24"/>
              </w:rPr>
            </w:pPr>
            <w:r w:rsidRPr="00583778">
              <w:rPr>
                <w:rFonts w:ascii="Titillium Web" w:hAnsi="Titillium Web"/>
                <w:szCs w:val="24"/>
              </w:rPr>
              <w:t>Ultimo quarto del V sec. a.C.</w:t>
            </w:r>
          </w:p>
        </w:tc>
      </w:tr>
      <w:tr w:rsidR="001B5504" w:rsidRPr="00583778" w14:paraId="3105DEE4" w14:textId="77777777" w:rsidTr="001B5504">
        <w:trPr>
          <w:jc w:val="center"/>
        </w:trPr>
        <w:tc>
          <w:tcPr>
            <w:tcW w:w="1650" w:type="pct"/>
            <w:vAlign w:val="center"/>
          </w:tcPr>
          <w:p w14:paraId="2DF8B210"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t>Bibliografia (della tomba)</w:t>
            </w:r>
          </w:p>
        </w:tc>
        <w:tc>
          <w:tcPr>
            <w:tcW w:w="3350" w:type="pct"/>
            <w:vAlign w:val="center"/>
          </w:tcPr>
          <w:p w14:paraId="38D3D101" w14:textId="6F059E58" w:rsidR="001B5504" w:rsidRPr="00583778" w:rsidRDefault="001B5504" w:rsidP="00BF212E">
            <w:pPr>
              <w:jc w:val="center"/>
              <w:rPr>
                <w:rFonts w:ascii="Titillium Web" w:hAnsi="Titillium Web"/>
                <w:szCs w:val="24"/>
              </w:rPr>
            </w:pPr>
            <w:r w:rsidRPr="00583778">
              <w:rPr>
                <w:rFonts w:ascii="Titillium Web" w:hAnsi="Titillium Web"/>
                <w:smallCaps/>
                <w:szCs w:val="24"/>
              </w:rPr>
              <w:t>Massei</w:t>
            </w:r>
            <w:r w:rsidRPr="00583778">
              <w:rPr>
                <w:rFonts w:ascii="Titillium Web" w:hAnsi="Titillium Web"/>
                <w:szCs w:val="24"/>
              </w:rPr>
              <w:t xml:space="preserve"> 1978, pp. 13-15, tavv. III, 2-3; </w:t>
            </w:r>
            <w:r w:rsidRPr="00583778">
              <w:rPr>
                <w:rFonts w:ascii="Titillium Web" w:hAnsi="Titillium Web"/>
                <w:smallCaps/>
                <w:szCs w:val="24"/>
              </w:rPr>
              <w:t>Gualandi</w:t>
            </w:r>
            <w:r w:rsidRPr="00583778">
              <w:rPr>
                <w:rFonts w:ascii="Titillium Web" w:hAnsi="Titillium Web"/>
                <w:szCs w:val="24"/>
              </w:rPr>
              <w:t xml:space="preserve"> 1980, p. 99; </w:t>
            </w:r>
            <w:r w:rsidRPr="00583778">
              <w:rPr>
                <w:rFonts w:ascii="Titillium Web" w:hAnsi="Titillium Web"/>
                <w:smallCaps/>
                <w:szCs w:val="24"/>
              </w:rPr>
              <w:t>Berti</w:t>
            </w:r>
            <w:r w:rsidRPr="00583778">
              <w:rPr>
                <w:rFonts w:ascii="Titillium Web" w:hAnsi="Titillium Web"/>
                <w:szCs w:val="24"/>
              </w:rPr>
              <w:t xml:space="preserve"> 1983, pp. 47 e 66; </w:t>
            </w:r>
            <w:r w:rsidRPr="00583778">
              <w:rPr>
                <w:rFonts w:ascii="Titillium Web" w:hAnsi="Titillium Web"/>
                <w:smallCaps/>
                <w:szCs w:val="24"/>
              </w:rPr>
              <w:t>Hostetter</w:t>
            </w:r>
            <w:r w:rsidRPr="00583778">
              <w:rPr>
                <w:rFonts w:ascii="Titillium Web" w:hAnsi="Titillium Web"/>
                <w:szCs w:val="24"/>
              </w:rPr>
              <w:t xml:space="preserve"> 1986, pp. 38</w:t>
            </w:r>
            <w:r w:rsidR="00583778" w:rsidRPr="00583778">
              <w:rPr>
                <w:rFonts w:ascii="Titillium Web" w:hAnsi="Titillium Web"/>
                <w:szCs w:val="24"/>
              </w:rPr>
              <w:t>-39</w:t>
            </w:r>
          </w:p>
        </w:tc>
      </w:tr>
      <w:tr w:rsidR="001B5504" w:rsidRPr="00583778" w14:paraId="6887A6E3" w14:textId="77777777" w:rsidTr="001B5504">
        <w:trPr>
          <w:jc w:val="center"/>
        </w:trPr>
        <w:tc>
          <w:tcPr>
            <w:tcW w:w="1650" w:type="pct"/>
            <w:vAlign w:val="center"/>
          </w:tcPr>
          <w:p w14:paraId="4944AE43" w14:textId="77777777" w:rsidR="001B5504" w:rsidRPr="00583778" w:rsidRDefault="001B5504" w:rsidP="00BF212E">
            <w:pPr>
              <w:jc w:val="center"/>
              <w:rPr>
                <w:rFonts w:ascii="Titillium Web" w:hAnsi="Titillium Web"/>
                <w:smallCaps/>
                <w:szCs w:val="24"/>
              </w:rPr>
            </w:pPr>
            <w:r w:rsidRPr="00583778">
              <w:rPr>
                <w:rFonts w:ascii="Titillium Web" w:hAnsi="Titillium Web"/>
                <w:smallCaps/>
                <w:szCs w:val="24"/>
              </w:rPr>
              <w:t>Link alla pubblicazione</w:t>
            </w:r>
          </w:p>
        </w:tc>
        <w:tc>
          <w:tcPr>
            <w:tcW w:w="3350" w:type="pct"/>
            <w:vAlign w:val="center"/>
          </w:tcPr>
          <w:p w14:paraId="6ADE2D95" w14:textId="5EBDA977" w:rsidR="001B5504" w:rsidRPr="00583778" w:rsidRDefault="001B5504" w:rsidP="00BF212E">
            <w:pPr>
              <w:jc w:val="center"/>
              <w:rPr>
                <w:rFonts w:ascii="Titillium Web" w:hAnsi="Titillium Web"/>
                <w:szCs w:val="24"/>
              </w:rPr>
            </w:pPr>
          </w:p>
        </w:tc>
      </w:tr>
    </w:tbl>
    <w:p w14:paraId="4DC97993" w14:textId="77777777" w:rsidR="001B5504" w:rsidRPr="00C30F5C" w:rsidRDefault="001B5504" w:rsidP="001B5504">
      <w:pPr>
        <w:jc w:val="center"/>
        <w:rPr>
          <w:rFonts w:ascii="Titillium Web" w:hAnsi="Titillium Web"/>
          <w:b/>
          <w:bCs/>
          <w:sz w:val="28"/>
          <w:szCs w:val="24"/>
        </w:rPr>
      </w:pPr>
    </w:p>
    <w:sectPr w:rsidR="001B5504" w:rsidRPr="00C30F5C"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997"/>
    <w:multiLevelType w:val="hybridMultilevel"/>
    <w:tmpl w:val="C2DE6EE8"/>
    <w:lvl w:ilvl="0" w:tplc="FD9E36EE">
      <w:start w:val="13"/>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195BB3"/>
    <w:multiLevelType w:val="hybridMultilevel"/>
    <w:tmpl w:val="6C4E8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3980534">
    <w:abstractNumId w:val="0"/>
  </w:num>
  <w:num w:numId="2" w16cid:durableId="1139692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2D"/>
    <w:rsid w:val="00014214"/>
    <w:rsid w:val="000D72F4"/>
    <w:rsid w:val="001B5504"/>
    <w:rsid w:val="001F2833"/>
    <w:rsid w:val="00237E41"/>
    <w:rsid w:val="00284318"/>
    <w:rsid w:val="00284A26"/>
    <w:rsid w:val="0029024B"/>
    <w:rsid w:val="002977D7"/>
    <w:rsid w:val="002F1500"/>
    <w:rsid w:val="00463DC3"/>
    <w:rsid w:val="00472AF4"/>
    <w:rsid w:val="00514260"/>
    <w:rsid w:val="00560743"/>
    <w:rsid w:val="00583778"/>
    <w:rsid w:val="005B5AFF"/>
    <w:rsid w:val="0068458A"/>
    <w:rsid w:val="00710B38"/>
    <w:rsid w:val="007145BC"/>
    <w:rsid w:val="007D54CD"/>
    <w:rsid w:val="00942E70"/>
    <w:rsid w:val="00943EAC"/>
    <w:rsid w:val="00950348"/>
    <w:rsid w:val="00975CA9"/>
    <w:rsid w:val="00997946"/>
    <w:rsid w:val="009E4922"/>
    <w:rsid w:val="00A52A70"/>
    <w:rsid w:val="00A613F9"/>
    <w:rsid w:val="00B165C4"/>
    <w:rsid w:val="00B86B2D"/>
    <w:rsid w:val="00BE2CB2"/>
    <w:rsid w:val="00BE63CC"/>
    <w:rsid w:val="00BF212E"/>
    <w:rsid w:val="00C21EE0"/>
    <w:rsid w:val="00C30F5C"/>
    <w:rsid w:val="00CA7312"/>
    <w:rsid w:val="00CC46E5"/>
    <w:rsid w:val="00D40711"/>
    <w:rsid w:val="00D54723"/>
    <w:rsid w:val="00DB1668"/>
    <w:rsid w:val="00E0524C"/>
    <w:rsid w:val="00E116E6"/>
    <w:rsid w:val="00F13EF9"/>
    <w:rsid w:val="00F3665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EA0"/>
  <w15:chartTrackingRefBased/>
  <w15:docId w15:val="{475B289C-F9A1-4717-B3D6-E982B8FC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4214"/>
  </w:style>
  <w:style w:type="paragraph" w:styleId="Titolo1">
    <w:name w:val="heading 1"/>
    <w:basedOn w:val="Normale"/>
    <w:next w:val="Normale"/>
    <w:link w:val="Titolo1Carattere"/>
    <w:uiPriority w:val="9"/>
    <w:qFormat/>
    <w:rsid w:val="00B86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B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B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B2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86B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B2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86B2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B2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B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B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B2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B2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B2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86B2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86B2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86B2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86B2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86B2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B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B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B2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B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B2D"/>
    <w:rPr>
      <w:i/>
      <w:iCs/>
      <w:color w:val="404040" w:themeColor="text1" w:themeTint="BF"/>
    </w:rPr>
  </w:style>
  <w:style w:type="paragraph" w:styleId="Paragrafoelenco">
    <w:name w:val="List Paragraph"/>
    <w:basedOn w:val="Normale"/>
    <w:uiPriority w:val="34"/>
    <w:qFormat/>
    <w:rsid w:val="00B86B2D"/>
    <w:pPr>
      <w:ind w:left="720"/>
      <w:contextualSpacing/>
    </w:pPr>
  </w:style>
  <w:style w:type="character" w:styleId="Enfasiintensa">
    <w:name w:val="Intense Emphasis"/>
    <w:basedOn w:val="Carpredefinitoparagrafo"/>
    <w:uiPriority w:val="21"/>
    <w:qFormat/>
    <w:rsid w:val="00B86B2D"/>
    <w:rPr>
      <w:i/>
      <w:iCs/>
      <w:color w:val="0F4761" w:themeColor="accent1" w:themeShade="BF"/>
    </w:rPr>
  </w:style>
  <w:style w:type="paragraph" w:styleId="Citazioneintensa">
    <w:name w:val="Intense Quote"/>
    <w:basedOn w:val="Normale"/>
    <w:next w:val="Normale"/>
    <w:link w:val="CitazioneintensaCarattere"/>
    <w:uiPriority w:val="30"/>
    <w:qFormat/>
    <w:rsid w:val="00B86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B2D"/>
    <w:rPr>
      <w:i/>
      <w:iCs/>
      <w:color w:val="0F4761" w:themeColor="accent1" w:themeShade="BF"/>
    </w:rPr>
  </w:style>
  <w:style w:type="character" w:styleId="Riferimentointenso">
    <w:name w:val="Intense Reference"/>
    <w:basedOn w:val="Carpredefinitoparagrafo"/>
    <w:uiPriority w:val="32"/>
    <w:qFormat/>
    <w:rsid w:val="00B86B2D"/>
    <w:rPr>
      <w:b/>
      <w:bCs/>
      <w:smallCaps/>
      <w:color w:val="0F4761" w:themeColor="accent1" w:themeShade="BF"/>
      <w:spacing w:val="5"/>
    </w:rPr>
  </w:style>
  <w:style w:type="table" w:styleId="Grigliatabella">
    <w:name w:val="Table Grid"/>
    <w:basedOn w:val="Tabellanormale"/>
    <w:uiPriority w:val="39"/>
    <w:rsid w:val="000142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950348"/>
    <w:rPr>
      <w:color w:val="467886" w:themeColor="hyperlink"/>
      <w:u w:val="single"/>
    </w:rPr>
  </w:style>
  <w:style w:type="paragraph" w:styleId="Revisione">
    <w:name w:val="Revision"/>
    <w:hidden/>
    <w:uiPriority w:val="99"/>
    <w:semiHidden/>
    <w:rsid w:val="00710B38"/>
    <w:pPr>
      <w:spacing w:after="0"/>
      <w:jc w:val="left"/>
    </w:pPr>
  </w:style>
  <w:style w:type="character" w:styleId="Rimandocommento">
    <w:name w:val="annotation reference"/>
    <w:basedOn w:val="Carpredefinitoparagrafo"/>
    <w:uiPriority w:val="99"/>
    <w:semiHidden/>
    <w:unhideWhenUsed/>
    <w:rsid w:val="00710B38"/>
    <w:rPr>
      <w:sz w:val="16"/>
      <w:szCs w:val="16"/>
    </w:rPr>
  </w:style>
  <w:style w:type="paragraph" w:styleId="Testocommento">
    <w:name w:val="annotation text"/>
    <w:basedOn w:val="Normale"/>
    <w:link w:val="TestocommentoCarattere"/>
    <w:uiPriority w:val="99"/>
    <w:semiHidden/>
    <w:unhideWhenUsed/>
    <w:rsid w:val="00710B38"/>
    <w:rPr>
      <w:sz w:val="20"/>
      <w:szCs w:val="20"/>
    </w:rPr>
  </w:style>
  <w:style w:type="character" w:customStyle="1" w:styleId="TestocommentoCarattere">
    <w:name w:val="Testo commento Carattere"/>
    <w:basedOn w:val="Carpredefinitoparagrafo"/>
    <w:link w:val="Testocommento"/>
    <w:uiPriority w:val="99"/>
    <w:semiHidden/>
    <w:rsid w:val="00710B38"/>
    <w:rPr>
      <w:sz w:val="20"/>
      <w:szCs w:val="20"/>
    </w:rPr>
  </w:style>
  <w:style w:type="paragraph" w:styleId="Soggettocommento">
    <w:name w:val="annotation subject"/>
    <w:basedOn w:val="Testocommento"/>
    <w:next w:val="Testocommento"/>
    <w:link w:val="SoggettocommentoCarattere"/>
    <w:uiPriority w:val="99"/>
    <w:semiHidden/>
    <w:unhideWhenUsed/>
    <w:rsid w:val="00710B38"/>
    <w:rPr>
      <w:b/>
      <w:bCs/>
    </w:rPr>
  </w:style>
  <w:style w:type="character" w:customStyle="1" w:styleId="SoggettocommentoCarattere">
    <w:name w:val="Soggetto commento Carattere"/>
    <w:basedOn w:val="TestocommentoCarattere"/>
    <w:link w:val="Soggettocommento"/>
    <w:uiPriority w:val="99"/>
    <w:semiHidden/>
    <w:rsid w:val="00710B38"/>
    <w:rPr>
      <w:b/>
      <w:bCs/>
      <w:sz w:val="20"/>
      <w:szCs w:val="20"/>
    </w:rPr>
  </w:style>
  <w:style w:type="character" w:styleId="Menzionenonrisolta">
    <w:name w:val="Unresolved Mention"/>
    <w:basedOn w:val="Carpredefinitoparagrafo"/>
    <w:uiPriority w:val="99"/>
    <w:semiHidden/>
    <w:unhideWhenUsed/>
    <w:rsid w:val="00D407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c.ox.ac.uk/XDB/ASP/recordDetails.asp?id=%7b1A2BC2F5-5A25-4E2B-87A3-814468CB5C6B%7d&amp;noResults=1&amp;recordCount=1&amp;databaseID=%7b12FC52A7-0E32-4A81-9FFA-C8C6CF430677%7d&amp;search=%20%7bAND%7d%20352031" TargetMode="External"/><Relationship Id="rId3" Type="http://schemas.openxmlformats.org/officeDocument/2006/relationships/settings" Target="settings.xml"/><Relationship Id="rId7" Type="http://schemas.openxmlformats.org/officeDocument/2006/relationships/hyperlink" Target="https://www.carc.ox.ac.uk/XDB/ASP/recordDetails.asp?id=%7bF50D1CE9-D2E7-47B4-B321-44B7E089AF32%7d&amp;noResults=1&amp;recordCount=1&amp;databaseID=%7b12FC52A7-0E32-4A81-9FFA-C8C6CF430677%7d&amp;search=%20%7bAND%7d%202170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rc.ox.ac.uk/XDB/ASP/recordDetails.asp?id=%7b1C8DC347-9798-459B-930D-2E33E7F436C5%7d&amp;noResults=1&amp;recordCount=1&amp;databaseID=%7b12FC52A7-0E32-4A81-9FFA-C8C6CF430677%7d&amp;search=%20%7bAND%7d%20216585" TargetMode="External"/><Relationship Id="rId5" Type="http://schemas.openxmlformats.org/officeDocument/2006/relationships/hyperlink" Target="https://www.carc.ox.ac.uk/XDB/ASP/recordDetails.asp?id=%7b50BBAB8A-7614-46F4-AE7B-C9C34E153954%7d&amp;noResults=1&amp;recordCount=1&amp;databaseID=%7b12FC52A7-0E32-4A81-9FFA-C8C6CF430677%7d&amp;search=%20%7bAND%7d%2021658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732</Words>
  <Characters>4174</Characters>
  <Application>Microsoft Office Word</Application>
  <DocSecurity>0</DocSecurity>
  <Lines>34</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21</cp:revision>
  <dcterms:created xsi:type="dcterms:W3CDTF">2026-04-28T14:33:00Z</dcterms:created>
  <dcterms:modified xsi:type="dcterms:W3CDTF">2026-05-18T06:11:00Z</dcterms:modified>
</cp:coreProperties>
</file>