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46E7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46E7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46E7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46E7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46E7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1,0 m</w:t>
            </w:r>
          </w:p>
        </w:tc>
      </w:tr>
      <w:tr w:rsidR="001B5504" w:rsidRPr="00E46E7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46E7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037F58E" w:rsidR="001B5504" w:rsidRPr="00E46E7D" w:rsidRDefault="00E46E7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46E7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DD416A9" w:rsidR="001B5504" w:rsidRPr="00E46E7D" w:rsidRDefault="00E46E7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46E7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46E7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198D480" w14:textId="77777777" w:rsidR="00533CE1" w:rsidRPr="00E46E7D" w:rsidRDefault="00533CE1" w:rsidP="00533CE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Tomba 135 a cremazione:</w:t>
            </w:r>
          </w:p>
          <w:p w14:paraId="0F1D1B54" w14:textId="77777777" w:rsidR="00533CE1" w:rsidRPr="00E46E7D" w:rsidRDefault="00533CE1" w:rsidP="00533CE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A m. 2 a nord della precedente, alla profondità di metri 1,00 si rinviene:</w:t>
            </w:r>
          </w:p>
          <w:p w14:paraId="6AAE1D7C" w14:textId="77777777" w:rsidR="00533CE1" w:rsidRPr="00E46E7D" w:rsidRDefault="00533CE1" w:rsidP="00533CE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- un dolietto di impasto rozzo e male cotto, completamente schiacciato: non fu possibile raccoglierne un frammento.</w:t>
            </w:r>
          </w:p>
          <w:p w14:paraId="34AE1230" w14:textId="77777777" w:rsidR="00533CE1" w:rsidRPr="00E46E7D" w:rsidRDefault="00533CE1" w:rsidP="00533CE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fra le ceneri:</w:t>
            </w:r>
          </w:p>
          <w:p w14:paraId="1A6B7E7E" w14:textId="30A5F616" w:rsidR="001B5504" w:rsidRPr="00E46E7D" w:rsidRDefault="00533CE1" w:rsidP="00533CE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due oinocoi a figure nere, entrambi frammentati e di disegno trasandatissimo.</w:t>
            </w:r>
          </w:p>
        </w:tc>
      </w:tr>
      <w:tr w:rsidR="001B5504" w:rsidRPr="00E46E7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B4E78B5" w14:textId="77777777" w:rsidR="00442ED5" w:rsidRPr="00E46E7D" w:rsidRDefault="00442ED5" w:rsidP="00B64688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46E7D">
              <w:rPr>
                <w:rFonts w:ascii="Titillium Web" w:hAnsi="Titillium Web" w:cs="Times New Roman"/>
                <w:szCs w:val="24"/>
              </w:rPr>
              <w:t>Le ceneri erano verosimilmente collocate all’interno di un’olla di piccole dimensioni, di produzione locale (n. 1*), rinvenuta in frr. e non recuperabile. Fra i resti del defunto, sono stati raccolti gli elementi del corredo, probabilmente in origine deposti all’interno del cinerario: un’</w:t>
            </w: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oinochoe</w:t>
            </w:r>
            <w:r w:rsidRPr="00E46E7D">
              <w:rPr>
                <w:rFonts w:ascii="Titillium Web" w:hAnsi="Titillium Web" w:cs="Times New Roman"/>
                <w:szCs w:val="24"/>
              </w:rPr>
              <w:t xml:space="preserve"> ed un </w:t>
            </w:r>
            <w:r w:rsidRPr="00E46E7D">
              <w:rPr>
                <w:rFonts w:ascii="Titillium Web" w:hAnsi="Titillium Web" w:cs="Times New Roman"/>
                <w:i/>
                <w:iCs/>
                <w:szCs w:val="24"/>
              </w:rPr>
              <w:t>chous</w:t>
            </w:r>
            <w:r w:rsidRPr="00E46E7D">
              <w:rPr>
                <w:rFonts w:ascii="Titillium Web" w:hAnsi="Titillium Web" w:cs="Times New Roman"/>
                <w:szCs w:val="24"/>
              </w:rPr>
              <w:t xml:space="preserve"> attici a f.n. (nn. 2-3).</w:t>
            </w:r>
          </w:p>
          <w:p w14:paraId="6E829DDF" w14:textId="77777777" w:rsidR="001B5504" w:rsidRPr="00E46E7D" w:rsidRDefault="00442ED5" w:rsidP="00B64688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1*. Olla di produzione locale (?) (ceramica grezza?)</w:t>
            </w:r>
          </w:p>
          <w:p w14:paraId="3ED5ED09" w14:textId="530152C2" w:rsidR="00442ED5" w:rsidRPr="00E46E7D" w:rsidRDefault="00442ED5" w:rsidP="00B64688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 xml:space="preserve">2. </w:t>
            </w:r>
            <w:hyperlink r:id="rId5" w:history="1">
              <w:r w:rsidRPr="00E46E7D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Oinochoe attica a bocca trilobata</w:t>
              </w:r>
            </w:hyperlink>
            <w:r w:rsidRPr="00E46E7D">
              <w:rPr>
                <w:rFonts w:ascii="Titillium Web" w:hAnsi="Titillium Web"/>
                <w:szCs w:val="24"/>
              </w:rPr>
              <w:t xml:space="preserve"> (IG 16280; figure nere)</w:t>
            </w:r>
          </w:p>
          <w:p w14:paraId="5EE32F9C" w14:textId="547034F8" w:rsidR="00442ED5" w:rsidRPr="00E46E7D" w:rsidRDefault="00442ED5" w:rsidP="00B64688">
            <w:pPr>
              <w:jc w:val="center"/>
              <w:rPr>
                <w:rFonts w:ascii="Titillium Web" w:hAnsi="Titillium Web"/>
                <w:szCs w:val="24"/>
                <w:lang w:val="en-GB"/>
              </w:rPr>
            </w:pPr>
            <w:r w:rsidRPr="00E46E7D">
              <w:rPr>
                <w:rFonts w:ascii="Titillium Web" w:hAnsi="Titillium Web"/>
                <w:szCs w:val="24"/>
                <w:lang w:val="en-GB"/>
              </w:rPr>
              <w:t xml:space="preserve">3. </w:t>
            </w:r>
            <w:hyperlink r:id="rId6" w:history="1">
              <w:r w:rsidR="00ED1361" w:rsidRPr="00E46E7D">
                <w:rPr>
                  <w:rStyle w:val="Collegamentoipertestuale"/>
                  <w:rFonts w:ascii="Titillium Web" w:hAnsi="Titillium Web"/>
                  <w:b/>
                  <w:bCs/>
                  <w:szCs w:val="24"/>
                  <w:lang w:val="en-GB"/>
                </w:rPr>
                <w:t>Chous attico</w:t>
              </w:r>
            </w:hyperlink>
            <w:r w:rsidR="00ED1361" w:rsidRPr="00E46E7D">
              <w:rPr>
                <w:rFonts w:ascii="Titillium Web" w:hAnsi="Titillium Web"/>
                <w:szCs w:val="24"/>
                <w:lang w:val="en-GB"/>
              </w:rPr>
              <w:t xml:space="preserve"> (IG 196; figure nere)</w:t>
            </w:r>
          </w:p>
        </w:tc>
      </w:tr>
      <w:tr w:rsidR="001B5504" w:rsidRPr="00E46E7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B533643" w:rsidR="001B5504" w:rsidRPr="00E46E7D" w:rsidRDefault="00B6468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E46E7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2285455" w:rsidR="001B5504" w:rsidRPr="00E46E7D" w:rsidRDefault="00E46E7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Sono state attribuite al corredo in un secondo momento due ciotole attiche a v.n. Sebbene a livello cronologico siano compatibili con la datazione del corredo, si è deciso di non includerle nella tomba, poiché non menzionate nel GdS.</w:t>
            </w:r>
          </w:p>
        </w:tc>
      </w:tr>
      <w:tr w:rsidR="001B5504" w:rsidRPr="00E46E7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E7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E7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46E7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zCs w:val="24"/>
              </w:rPr>
              <w:t>475-450 a.C.</w:t>
            </w:r>
          </w:p>
        </w:tc>
      </w:tr>
      <w:tr w:rsidR="001B5504" w:rsidRPr="00E46E7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Berti</w:t>
            </w:r>
            <w:r w:rsidRPr="00E46E7D">
              <w:rPr>
                <w:rFonts w:ascii="Titillium Web" w:hAnsi="Titillium Web"/>
                <w:szCs w:val="24"/>
              </w:rPr>
              <w:t>, pp. 17-18.</w:t>
            </w:r>
          </w:p>
        </w:tc>
      </w:tr>
      <w:tr w:rsidR="001B5504" w:rsidRPr="00E46E7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46E7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46E7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46E7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442ED5"/>
    <w:rsid w:val="00472AF4"/>
    <w:rsid w:val="00533CE1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64688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46E7D"/>
    <w:rsid w:val="00ED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ED1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c.ox.ac.uk/XDB/ASP/recordDetails.asp?id=%7bBF9A3112-55FA-441F-B259-71E7C55752C7%7d&amp;noResults=1&amp;recordCount=1&amp;databaseID=%7b12FC52A7-0E32-4A81-9FFA-C8C6CF430677%7d&amp;search=%20%7bAND%7d%20303356" TargetMode="External"/><Relationship Id="rId5" Type="http://schemas.openxmlformats.org/officeDocument/2006/relationships/hyperlink" Target="https://www.carc.ox.ac.uk/XDB/ASP/recordDetails.asp?id=%7b033ADBE3-7E1E-4DD6-B254-A096D9E57E00%7d&amp;noResults=1&amp;recordCount=1&amp;databaseID=%7b12FC52A7-0E32-4A81-9FFA-C8C6CF430677%7d&amp;search=%20%7bAND%7d%203516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2026-05-18T06:19:00Z</dcterms:modified>
</cp:coreProperties>
</file>