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137</w:t>
      </w:r>
    </w:p>
    <w:tbl>
      <w:tblPr>
        <w:tblStyle w:val="Grigliatabella"/>
        <w:tblW w:w="5000" w:type="pct"/>
        <w:jc w:val="center"/>
        <w:tblLook w:val="04A0" w:firstRow="1" w:lastRow="0" w:firstColumn="1" w:lastColumn="0" w:noHBand="0" w:noVBand="1"/>
      </w:tblPr>
      <w:tblGrid>
        <w:gridCol w:w="2990"/>
        <w:gridCol w:w="6070"/>
      </w:tblGrid>
      <w:tr w:rsidR="001B5504" w:rsidRPr="008C4BB6" w14:paraId="7E897B51" w14:textId="77777777" w:rsidTr="001B5504">
        <w:trPr>
          <w:jc w:val="center"/>
        </w:trPr>
        <w:tc>
          <w:tcPr>
            <w:tcW w:w="1650" w:type="pct"/>
            <w:vAlign w:val="center"/>
          </w:tcPr>
          <w:p w14:paraId="42CC7784"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Anno di rinvenimento</w:t>
            </w:r>
          </w:p>
        </w:tc>
        <w:tc>
          <w:tcPr>
            <w:tcW w:w="3350" w:type="pct"/>
            <w:vAlign w:val="center"/>
          </w:tcPr>
          <w:p w14:paraId="3911E4F6" w14:textId="6BFD1686" w:rsidR="001B5504" w:rsidRPr="008C4BB6" w:rsidRDefault="001B5504" w:rsidP="00BF212E">
            <w:pPr>
              <w:jc w:val="center"/>
              <w:rPr>
                <w:rFonts w:ascii="Titillium Web" w:hAnsi="Titillium Web"/>
                <w:szCs w:val="24"/>
              </w:rPr>
            </w:pPr>
            <w:r w:rsidRPr="008C4BB6">
              <w:rPr>
                <w:rFonts w:ascii="Titillium Web" w:hAnsi="Titillium Web"/>
                <w:szCs w:val="24"/>
              </w:rPr>
              <w:t>1923</w:t>
            </w:r>
          </w:p>
        </w:tc>
      </w:tr>
      <w:tr w:rsidR="001B5504" w:rsidRPr="008C4BB6" w14:paraId="4120B077" w14:textId="77777777" w:rsidTr="001B5504">
        <w:trPr>
          <w:jc w:val="center"/>
        </w:trPr>
        <w:tc>
          <w:tcPr>
            <w:tcW w:w="1650" w:type="pct"/>
            <w:vAlign w:val="center"/>
          </w:tcPr>
          <w:p w14:paraId="7B4CDD57"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Stato di conservazione della tomba</w:t>
            </w:r>
          </w:p>
        </w:tc>
        <w:tc>
          <w:tcPr>
            <w:tcW w:w="3350" w:type="pct"/>
            <w:vAlign w:val="center"/>
          </w:tcPr>
          <w:p w14:paraId="4ED449D1" w14:textId="67560E4F" w:rsidR="001B5504" w:rsidRPr="008C4BB6" w:rsidRDefault="001B5504" w:rsidP="00BF212E">
            <w:pPr>
              <w:jc w:val="center"/>
              <w:rPr>
                <w:rFonts w:ascii="Titillium Web" w:hAnsi="Titillium Web"/>
                <w:szCs w:val="24"/>
              </w:rPr>
            </w:pPr>
            <w:r w:rsidRPr="008C4BB6">
              <w:rPr>
                <w:rFonts w:ascii="Titillium Web" w:hAnsi="Titillium Web"/>
                <w:szCs w:val="24"/>
              </w:rPr>
              <w:t>Intatta</w:t>
            </w:r>
          </w:p>
        </w:tc>
      </w:tr>
      <w:tr w:rsidR="001B5504" w:rsidRPr="008C4BB6" w14:paraId="7A448E9D" w14:textId="77777777" w:rsidTr="001B5504">
        <w:trPr>
          <w:jc w:val="center"/>
        </w:trPr>
        <w:tc>
          <w:tcPr>
            <w:tcW w:w="1650" w:type="pct"/>
            <w:vAlign w:val="center"/>
          </w:tcPr>
          <w:p w14:paraId="1E1EA165"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Rito di seppellimento</w:t>
            </w:r>
          </w:p>
        </w:tc>
        <w:tc>
          <w:tcPr>
            <w:tcW w:w="3350" w:type="pct"/>
            <w:vAlign w:val="center"/>
          </w:tcPr>
          <w:p w14:paraId="18226334" w14:textId="6B6FE1CF" w:rsidR="001B5504" w:rsidRPr="008C4BB6" w:rsidRDefault="001B5504" w:rsidP="00BF212E">
            <w:pPr>
              <w:jc w:val="center"/>
              <w:rPr>
                <w:rFonts w:ascii="Titillium Web" w:hAnsi="Titillium Web"/>
                <w:szCs w:val="24"/>
              </w:rPr>
            </w:pPr>
            <w:r w:rsidRPr="008C4BB6">
              <w:rPr>
                <w:rFonts w:ascii="Titillium Web" w:hAnsi="Titillium Web"/>
                <w:szCs w:val="24"/>
              </w:rPr>
              <w:t>Cremazione</w:t>
            </w:r>
          </w:p>
        </w:tc>
      </w:tr>
      <w:tr w:rsidR="001B5504" w:rsidRPr="008C4BB6" w14:paraId="31276AA4" w14:textId="77777777" w:rsidTr="001B5504">
        <w:trPr>
          <w:jc w:val="center"/>
        </w:trPr>
        <w:tc>
          <w:tcPr>
            <w:tcW w:w="1650" w:type="pct"/>
            <w:vAlign w:val="center"/>
          </w:tcPr>
          <w:p w14:paraId="33201D3D"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Struttura tomba</w:t>
            </w:r>
          </w:p>
        </w:tc>
        <w:tc>
          <w:tcPr>
            <w:tcW w:w="3350" w:type="pct"/>
            <w:vAlign w:val="center"/>
          </w:tcPr>
          <w:p w14:paraId="720E7EE7" w14:textId="3E36BEBB" w:rsidR="001B5504" w:rsidRPr="008C4BB6" w:rsidRDefault="001B5504" w:rsidP="00BF212E">
            <w:pPr>
              <w:jc w:val="center"/>
              <w:rPr>
                <w:rFonts w:ascii="Titillium Web" w:hAnsi="Titillium Web"/>
                <w:szCs w:val="24"/>
              </w:rPr>
            </w:pPr>
            <w:r w:rsidRPr="008C4BB6">
              <w:rPr>
                <w:rFonts w:ascii="Titillium Web" w:hAnsi="Titillium Web"/>
                <w:szCs w:val="24"/>
              </w:rPr>
              <w:t>Pozzetto semplice</w:t>
            </w:r>
          </w:p>
        </w:tc>
      </w:tr>
      <w:tr w:rsidR="001B5504" w:rsidRPr="008C4BB6" w14:paraId="07337DA2" w14:textId="77777777" w:rsidTr="001B5504">
        <w:trPr>
          <w:jc w:val="center"/>
        </w:trPr>
        <w:tc>
          <w:tcPr>
            <w:tcW w:w="1650" w:type="pct"/>
            <w:vAlign w:val="center"/>
          </w:tcPr>
          <w:p w14:paraId="5032DFD5"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Profondità dal piano di campagna</w:t>
            </w:r>
          </w:p>
        </w:tc>
        <w:tc>
          <w:tcPr>
            <w:tcW w:w="3350" w:type="pct"/>
            <w:vAlign w:val="center"/>
          </w:tcPr>
          <w:p w14:paraId="4AC1C871" w14:textId="553FE193" w:rsidR="001B5504" w:rsidRPr="008C4BB6" w:rsidRDefault="001B5504" w:rsidP="00BF212E">
            <w:pPr>
              <w:jc w:val="center"/>
              <w:rPr>
                <w:rFonts w:ascii="Titillium Web" w:hAnsi="Titillium Web"/>
                <w:szCs w:val="24"/>
              </w:rPr>
            </w:pPr>
            <w:r w:rsidRPr="008C4BB6">
              <w:rPr>
                <w:rFonts w:ascii="Titillium Web" w:hAnsi="Titillium Web"/>
                <w:szCs w:val="24"/>
              </w:rPr>
              <w:t>0,80 m</w:t>
            </w:r>
          </w:p>
        </w:tc>
      </w:tr>
      <w:tr w:rsidR="001B5504" w:rsidRPr="008C4BB6" w14:paraId="16F9D287" w14:textId="77777777" w:rsidTr="001B5504">
        <w:trPr>
          <w:jc w:val="center"/>
        </w:trPr>
        <w:tc>
          <w:tcPr>
            <w:tcW w:w="1650" w:type="pct"/>
            <w:vAlign w:val="center"/>
          </w:tcPr>
          <w:p w14:paraId="5D675683"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Dimensioni della sepoltura</w:t>
            </w:r>
          </w:p>
        </w:tc>
        <w:tc>
          <w:tcPr>
            <w:tcW w:w="3350" w:type="pct"/>
            <w:vAlign w:val="center"/>
          </w:tcPr>
          <w:p w14:paraId="606ED54D" w14:textId="0EBDB5D9" w:rsidR="001B5504" w:rsidRPr="008C4BB6" w:rsidRDefault="001B5504" w:rsidP="00BF212E">
            <w:pPr>
              <w:jc w:val="center"/>
              <w:rPr>
                <w:rFonts w:ascii="Titillium Web" w:hAnsi="Titillium Web"/>
                <w:szCs w:val="24"/>
              </w:rPr>
            </w:pPr>
            <w:r w:rsidRPr="008C4BB6">
              <w:rPr>
                <w:rFonts w:ascii="Titillium Web" w:hAnsi="Titillium Web"/>
                <w:szCs w:val="24"/>
              </w:rPr>
              <w:t>Dimensioni non registrate</w:t>
            </w:r>
          </w:p>
        </w:tc>
      </w:tr>
      <w:tr w:rsidR="001B5504" w:rsidRPr="008C4BB6" w14:paraId="3DCDE8C5" w14:textId="77777777" w:rsidTr="001B5504">
        <w:trPr>
          <w:jc w:val="center"/>
        </w:trPr>
        <w:tc>
          <w:tcPr>
            <w:tcW w:w="1650" w:type="pct"/>
            <w:vAlign w:val="center"/>
          </w:tcPr>
          <w:p w14:paraId="090E3992"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Orientamento dello scheletro</w:t>
            </w:r>
          </w:p>
        </w:tc>
        <w:tc>
          <w:tcPr>
            <w:tcW w:w="3350" w:type="pct"/>
            <w:vAlign w:val="center"/>
          </w:tcPr>
          <w:p w14:paraId="01C3562F" w14:textId="6D88E6FA" w:rsidR="001B5504" w:rsidRPr="008C4BB6" w:rsidRDefault="009E4D92" w:rsidP="00BF212E">
            <w:pPr>
              <w:jc w:val="center"/>
              <w:rPr>
                <w:rFonts w:ascii="Titillium Web" w:hAnsi="Titillium Web"/>
                <w:szCs w:val="24"/>
              </w:rPr>
            </w:pPr>
            <w:r w:rsidRPr="008C4BB6">
              <w:rPr>
                <w:rFonts w:ascii="Titillium Web" w:hAnsi="Titillium Web"/>
                <w:szCs w:val="24"/>
              </w:rPr>
              <w:t>/</w:t>
            </w:r>
          </w:p>
        </w:tc>
      </w:tr>
      <w:tr w:rsidR="001B5504" w:rsidRPr="008C4BB6" w14:paraId="5978151F" w14:textId="77777777" w:rsidTr="001B5504">
        <w:trPr>
          <w:jc w:val="center"/>
        </w:trPr>
        <w:tc>
          <w:tcPr>
            <w:tcW w:w="1650" w:type="pct"/>
            <w:vAlign w:val="center"/>
          </w:tcPr>
          <w:p w14:paraId="1F67A10B"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Segnacolo</w:t>
            </w:r>
          </w:p>
        </w:tc>
        <w:tc>
          <w:tcPr>
            <w:tcW w:w="3350" w:type="pct"/>
            <w:vAlign w:val="center"/>
          </w:tcPr>
          <w:p w14:paraId="6599D472" w14:textId="3811FCC8" w:rsidR="001B5504" w:rsidRPr="008C4BB6" w:rsidRDefault="009E4D92" w:rsidP="00BF212E">
            <w:pPr>
              <w:jc w:val="center"/>
              <w:rPr>
                <w:rFonts w:ascii="Titillium Web" w:hAnsi="Titillium Web"/>
                <w:szCs w:val="24"/>
              </w:rPr>
            </w:pPr>
            <w:r w:rsidRPr="008C4BB6">
              <w:rPr>
                <w:rFonts w:ascii="Titillium Web" w:hAnsi="Titillium Web"/>
                <w:szCs w:val="24"/>
              </w:rPr>
              <w:t>/</w:t>
            </w:r>
          </w:p>
        </w:tc>
      </w:tr>
      <w:tr w:rsidR="001B5504" w:rsidRPr="008C4BB6" w14:paraId="28E05F99" w14:textId="77777777" w:rsidTr="001B5504">
        <w:trPr>
          <w:jc w:val="center"/>
        </w:trPr>
        <w:tc>
          <w:tcPr>
            <w:tcW w:w="1650" w:type="pct"/>
            <w:vAlign w:val="center"/>
          </w:tcPr>
          <w:p w14:paraId="6ECF1BD4" w14:textId="77777777" w:rsidR="001B5504" w:rsidRPr="008C4BB6" w:rsidRDefault="001B5504" w:rsidP="001F2833">
            <w:pPr>
              <w:spacing w:before="120" w:after="120"/>
              <w:jc w:val="center"/>
              <w:rPr>
                <w:rFonts w:ascii="Titillium Web" w:hAnsi="Titillium Web"/>
                <w:smallCaps/>
                <w:szCs w:val="24"/>
              </w:rPr>
            </w:pPr>
            <w:r w:rsidRPr="008C4BB6">
              <w:rPr>
                <w:rFonts w:ascii="Titillium Web" w:hAnsi="Titillium Web"/>
                <w:smallCaps/>
                <w:szCs w:val="24"/>
              </w:rPr>
              <w:t>Giornale di scavo (GdS)</w:t>
            </w:r>
          </w:p>
        </w:tc>
        <w:tc>
          <w:tcPr>
            <w:tcW w:w="3350" w:type="pct"/>
            <w:vAlign w:val="center"/>
          </w:tcPr>
          <w:p w14:paraId="757D5BD7" w14:textId="77777777" w:rsidR="009E4D92" w:rsidRPr="008C4BB6" w:rsidRDefault="009E4D92" w:rsidP="009E4D92">
            <w:pPr>
              <w:rPr>
                <w:rFonts w:ascii="Titillium Web" w:hAnsi="Titillium Web" w:cs="Times New Roman"/>
                <w:i/>
                <w:iCs/>
                <w:szCs w:val="24"/>
              </w:rPr>
            </w:pPr>
            <w:r w:rsidRPr="008C4BB6">
              <w:rPr>
                <w:rFonts w:ascii="Titillium Web" w:hAnsi="Titillium Web" w:cs="Times New Roman"/>
                <w:i/>
                <w:iCs/>
                <w:szCs w:val="24"/>
              </w:rPr>
              <w:t>Tomba 137 a cremazione.</w:t>
            </w:r>
          </w:p>
          <w:p w14:paraId="65392B82" w14:textId="77777777" w:rsidR="009E4D92" w:rsidRPr="008C4BB6" w:rsidRDefault="009E4D92" w:rsidP="009E4D92">
            <w:pPr>
              <w:rPr>
                <w:rFonts w:ascii="Titillium Web" w:hAnsi="Titillium Web" w:cs="Times New Roman"/>
                <w:i/>
                <w:iCs/>
                <w:szCs w:val="24"/>
              </w:rPr>
            </w:pPr>
            <w:r w:rsidRPr="008C4BB6">
              <w:rPr>
                <w:rFonts w:ascii="Titillium Web" w:hAnsi="Titillium Web" w:cs="Times New Roman"/>
                <w:i/>
                <w:iCs/>
                <w:szCs w:val="24"/>
              </w:rPr>
              <w:t>A m. 20 dal canale di scolo e sul bordo S. dello scavo, a m. 0,80 di profondità, si rinviene un gruppetto di pochi oggetti sui quali erano pochissime ossa combuste e minutissime.</w:t>
            </w:r>
          </w:p>
          <w:p w14:paraId="5D470359" w14:textId="77777777" w:rsidR="009E4D92" w:rsidRPr="008C4BB6" w:rsidRDefault="009E4D92" w:rsidP="009E4D92">
            <w:pPr>
              <w:rPr>
                <w:rFonts w:ascii="Titillium Web" w:hAnsi="Titillium Web" w:cs="Times New Roman"/>
                <w:i/>
                <w:iCs/>
                <w:szCs w:val="24"/>
              </w:rPr>
            </w:pPr>
            <w:r w:rsidRPr="008C4BB6">
              <w:rPr>
                <w:rFonts w:ascii="Titillium Web" w:hAnsi="Titillium Web" w:cs="Times New Roman"/>
                <w:i/>
                <w:iCs/>
                <w:szCs w:val="24"/>
              </w:rPr>
              <w:t>- 2 piattelli senza piede, di terra rossa chiaro, senza ver.</w:t>
            </w:r>
          </w:p>
          <w:p w14:paraId="08586778" w14:textId="1D8AB686" w:rsidR="009E4D92" w:rsidRPr="008C4BB6" w:rsidRDefault="009E4D92" w:rsidP="009E4D92">
            <w:pPr>
              <w:rPr>
                <w:rFonts w:ascii="Titillium Web" w:hAnsi="Titillium Web" w:cs="Times New Roman"/>
                <w:i/>
                <w:iCs/>
                <w:szCs w:val="24"/>
              </w:rPr>
            </w:pPr>
            <w:r w:rsidRPr="008C4BB6">
              <w:rPr>
                <w:rFonts w:ascii="Titillium Web" w:hAnsi="Titillium Web" w:cs="Times New Roman"/>
                <w:i/>
                <w:iCs/>
                <w:szCs w:val="24"/>
              </w:rPr>
              <w:t>- 1 aryballos con palmetta a ver. n., intero</w:t>
            </w:r>
          </w:p>
          <w:p w14:paraId="42861CEB" w14:textId="77777777" w:rsidR="009E4D92" w:rsidRPr="008C4BB6" w:rsidRDefault="009E4D92" w:rsidP="009E4D92">
            <w:pPr>
              <w:rPr>
                <w:rFonts w:ascii="Titillium Web" w:hAnsi="Titillium Web" w:cs="Times New Roman"/>
                <w:i/>
                <w:iCs/>
                <w:szCs w:val="24"/>
              </w:rPr>
            </w:pPr>
            <w:r w:rsidRPr="008C4BB6">
              <w:rPr>
                <w:rFonts w:ascii="Titillium Web" w:hAnsi="Titillium Web" w:cs="Times New Roman"/>
                <w:i/>
                <w:iCs/>
                <w:szCs w:val="24"/>
              </w:rPr>
              <w:t>- 1 frammento di ferro che posava entro un piattello.</w:t>
            </w:r>
          </w:p>
          <w:p w14:paraId="1A6B7E7E" w14:textId="44072678" w:rsidR="001B5504" w:rsidRPr="008C4BB6" w:rsidRDefault="009E4D92" w:rsidP="009E4D92">
            <w:pPr>
              <w:rPr>
                <w:rFonts w:ascii="Titillium Web" w:hAnsi="Titillium Web" w:cs="Times New Roman"/>
                <w:i/>
                <w:iCs/>
                <w:szCs w:val="24"/>
              </w:rPr>
            </w:pPr>
            <w:r w:rsidRPr="008C4BB6">
              <w:rPr>
                <w:rFonts w:ascii="Titillium Web" w:hAnsi="Titillium Web" w:cs="Times New Roman"/>
                <w:i/>
                <w:iCs/>
                <w:szCs w:val="24"/>
              </w:rPr>
              <w:t>Null’altro. Una tazzina piccola a fondo a ver. n.</w:t>
            </w:r>
          </w:p>
        </w:tc>
      </w:tr>
      <w:tr w:rsidR="001B5504" w:rsidRPr="008C4BB6" w14:paraId="4CA65959" w14:textId="77777777" w:rsidTr="001B5504">
        <w:trPr>
          <w:jc w:val="center"/>
        </w:trPr>
        <w:tc>
          <w:tcPr>
            <w:tcW w:w="1650" w:type="pct"/>
            <w:vAlign w:val="center"/>
          </w:tcPr>
          <w:p w14:paraId="42C0306C"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Corredo</w:t>
            </w:r>
          </w:p>
        </w:tc>
        <w:tc>
          <w:tcPr>
            <w:tcW w:w="3350" w:type="pct"/>
            <w:vAlign w:val="center"/>
          </w:tcPr>
          <w:p w14:paraId="702FE16D" w14:textId="6A2199C0" w:rsidR="00780626" w:rsidRPr="008C4BB6" w:rsidRDefault="00780626" w:rsidP="00340C4E">
            <w:pPr>
              <w:jc w:val="center"/>
              <w:rPr>
                <w:rFonts w:ascii="Titillium Web" w:hAnsi="Titillium Web" w:cs="Times New Roman"/>
                <w:szCs w:val="24"/>
              </w:rPr>
            </w:pPr>
            <w:r w:rsidRPr="008C4BB6">
              <w:rPr>
                <w:rFonts w:ascii="Titillium Web" w:hAnsi="Titillium Web" w:cs="Times New Roman"/>
                <w:szCs w:val="24"/>
              </w:rPr>
              <w:t xml:space="preserve">Le ceneri, fra cui ossa combuste di piccole dimensioni, coprivano gli oggetti del corredo, suggerendo la presenza originaria di un contenitore in materiale organico non conservato. Il Proni, infatti, non menziona alcun cinerario. Fra gli oggetti raccolti figuravano due vasi attici (nn. 1-2), due piatti di produzione locale in ceramica depurata (nn. 3-4) ed un probabile </w:t>
            </w:r>
            <w:r w:rsidRPr="008C4BB6">
              <w:rPr>
                <w:rFonts w:ascii="Titillium Web" w:hAnsi="Titillium Web" w:cs="Times New Roman"/>
                <w:i/>
                <w:iCs/>
                <w:szCs w:val="24"/>
              </w:rPr>
              <w:t>aes-rude</w:t>
            </w:r>
            <w:r w:rsidRPr="008C4BB6">
              <w:rPr>
                <w:rFonts w:ascii="Titillium Web" w:hAnsi="Titillium Web" w:cs="Times New Roman"/>
                <w:szCs w:val="24"/>
              </w:rPr>
              <w:t xml:space="preserve"> in ferro (n. 5), collocato in uno dei piatti. Rimane incerta la pertinenza del fr. di ferro al corredo</w:t>
            </w:r>
            <w:r w:rsidR="005B53A4" w:rsidRPr="008C4BB6">
              <w:rPr>
                <w:rFonts w:ascii="Titillium Web" w:hAnsi="Titillium Web" w:cs="Times New Roman"/>
                <w:szCs w:val="24"/>
              </w:rPr>
              <w:t>.</w:t>
            </w:r>
          </w:p>
          <w:p w14:paraId="04CE118F" w14:textId="5CEC19CE" w:rsidR="00465E41" w:rsidRPr="008C4BB6" w:rsidRDefault="00465E41" w:rsidP="00340C4E">
            <w:pPr>
              <w:jc w:val="center"/>
              <w:rPr>
                <w:rFonts w:ascii="Titillium Web" w:hAnsi="Titillium Web" w:cs="Times New Roman"/>
                <w:szCs w:val="24"/>
              </w:rPr>
            </w:pPr>
            <w:r w:rsidRPr="008C4BB6">
              <w:rPr>
                <w:rFonts w:ascii="Titillium Web" w:hAnsi="Titillium Web" w:cs="Times New Roman"/>
                <w:szCs w:val="24"/>
              </w:rPr>
              <w:t xml:space="preserve">1. </w:t>
            </w:r>
            <w:r w:rsidRPr="008C4BB6">
              <w:rPr>
                <w:rFonts w:ascii="Titillium Web" w:hAnsi="Titillium Web" w:cs="Times New Roman"/>
                <w:szCs w:val="24"/>
              </w:rPr>
              <w:t xml:space="preserve">Lekythos </w:t>
            </w:r>
            <w:proofErr w:type="spellStart"/>
            <w:r w:rsidRPr="008C4BB6">
              <w:rPr>
                <w:rFonts w:ascii="Titillium Web" w:hAnsi="Titillium Web" w:cs="Times New Roman"/>
                <w:szCs w:val="24"/>
              </w:rPr>
              <w:t>aryballica</w:t>
            </w:r>
            <w:proofErr w:type="spellEnd"/>
            <w:r w:rsidRPr="008C4BB6">
              <w:rPr>
                <w:rFonts w:ascii="Titillium Web" w:hAnsi="Titillium Web" w:cs="Times New Roman"/>
                <w:szCs w:val="24"/>
              </w:rPr>
              <w:t xml:space="preserve"> attica (IG 1150; figure rosse)</w:t>
            </w:r>
          </w:p>
          <w:p w14:paraId="70846068" w14:textId="6C687847" w:rsidR="00465E41" w:rsidRPr="008C4BB6" w:rsidRDefault="0020509C" w:rsidP="00340C4E">
            <w:pPr>
              <w:jc w:val="center"/>
              <w:rPr>
                <w:rFonts w:ascii="Titillium Web" w:hAnsi="Titillium Web" w:cs="Times New Roman"/>
                <w:szCs w:val="24"/>
              </w:rPr>
            </w:pPr>
            <w:r w:rsidRPr="008C4BB6">
              <w:rPr>
                <w:rFonts w:ascii="Titillium Web" w:hAnsi="Titillium Web" w:cs="Times New Roman"/>
                <w:szCs w:val="24"/>
              </w:rPr>
              <w:t xml:space="preserve">2. </w:t>
            </w:r>
            <w:r w:rsidR="00465E41" w:rsidRPr="008C4BB6">
              <w:rPr>
                <w:rFonts w:ascii="Titillium Web" w:hAnsi="Titillium Web" w:cs="Times New Roman"/>
                <w:szCs w:val="24"/>
              </w:rPr>
              <w:t>Piccola ciotola attica (IG 1153; vernice nera)</w:t>
            </w:r>
          </w:p>
          <w:p w14:paraId="21735E3C" w14:textId="0244B23C" w:rsidR="00465E41" w:rsidRPr="008C4BB6" w:rsidRDefault="0020509C" w:rsidP="00340C4E">
            <w:pPr>
              <w:jc w:val="center"/>
              <w:rPr>
                <w:rFonts w:ascii="Titillium Web" w:hAnsi="Titillium Web" w:cs="Times New Roman"/>
                <w:szCs w:val="24"/>
              </w:rPr>
            </w:pPr>
            <w:r w:rsidRPr="008C4BB6">
              <w:rPr>
                <w:rFonts w:ascii="Titillium Web" w:hAnsi="Titillium Web" w:cs="Times New Roman"/>
                <w:szCs w:val="24"/>
              </w:rPr>
              <w:t xml:space="preserve">3. </w:t>
            </w:r>
            <w:r w:rsidR="00465E41" w:rsidRPr="008C4BB6">
              <w:rPr>
                <w:rFonts w:ascii="Titillium Web" w:hAnsi="Titillium Web" w:cs="Times New Roman"/>
                <w:szCs w:val="24"/>
              </w:rPr>
              <w:t>Piatto di produzione locale (IG 1151; ceramica depurata)</w:t>
            </w:r>
          </w:p>
          <w:p w14:paraId="61F2DF5D" w14:textId="78959200" w:rsidR="00465E41" w:rsidRPr="008C4BB6" w:rsidRDefault="0020509C" w:rsidP="00340C4E">
            <w:pPr>
              <w:jc w:val="center"/>
              <w:rPr>
                <w:rFonts w:ascii="Titillium Web" w:hAnsi="Titillium Web" w:cs="Times New Roman"/>
                <w:szCs w:val="24"/>
              </w:rPr>
            </w:pPr>
            <w:r w:rsidRPr="008C4BB6">
              <w:rPr>
                <w:rFonts w:ascii="Titillium Web" w:hAnsi="Titillium Web" w:cs="Times New Roman"/>
                <w:szCs w:val="24"/>
              </w:rPr>
              <w:t xml:space="preserve">4. </w:t>
            </w:r>
            <w:r w:rsidR="00465E41" w:rsidRPr="008C4BB6">
              <w:rPr>
                <w:rFonts w:ascii="Titillium Web" w:hAnsi="Titillium Web" w:cs="Times New Roman"/>
                <w:szCs w:val="24"/>
              </w:rPr>
              <w:t>Piatto di produzione locale (IG 1152; ceramica depurata)</w:t>
            </w:r>
          </w:p>
          <w:p w14:paraId="5EE32F9C" w14:textId="4022548F" w:rsidR="001B5504" w:rsidRPr="008C4BB6" w:rsidRDefault="0020509C" w:rsidP="00340C4E">
            <w:pPr>
              <w:jc w:val="center"/>
              <w:rPr>
                <w:rFonts w:ascii="Titillium Web" w:hAnsi="Titillium Web"/>
                <w:szCs w:val="24"/>
              </w:rPr>
            </w:pPr>
            <w:r w:rsidRPr="008C4BB6">
              <w:rPr>
                <w:rFonts w:ascii="Titillium Web" w:hAnsi="Titillium Web" w:cs="Times New Roman"/>
                <w:szCs w:val="24"/>
              </w:rPr>
              <w:t xml:space="preserve">5. </w:t>
            </w:r>
            <w:r w:rsidR="00465E41" w:rsidRPr="008C4BB6">
              <w:rPr>
                <w:rFonts w:ascii="Titillium Web" w:hAnsi="Titillium Web" w:cs="Times New Roman"/>
                <w:szCs w:val="24"/>
              </w:rPr>
              <w:t xml:space="preserve">Frammento </w:t>
            </w:r>
            <w:r w:rsidRPr="008C4BB6">
              <w:rPr>
                <w:rFonts w:ascii="Titillium Web" w:hAnsi="Titillium Web" w:cs="Times New Roman"/>
                <w:szCs w:val="24"/>
              </w:rPr>
              <w:t>non det.</w:t>
            </w:r>
            <w:r w:rsidR="00465E41" w:rsidRPr="008C4BB6">
              <w:rPr>
                <w:rFonts w:ascii="Titillium Web" w:hAnsi="Titillium Web" w:cs="Times New Roman"/>
                <w:szCs w:val="24"/>
              </w:rPr>
              <w:t xml:space="preserve"> (</w:t>
            </w:r>
            <w:r w:rsidRPr="008C4BB6">
              <w:rPr>
                <w:rFonts w:ascii="Titillium Web" w:hAnsi="Titillium Web" w:cs="Times New Roman"/>
                <w:szCs w:val="24"/>
              </w:rPr>
              <w:t>forse di candelabro</w:t>
            </w:r>
            <w:r w:rsidR="00465E41" w:rsidRPr="008C4BB6">
              <w:rPr>
                <w:rFonts w:ascii="Titillium Web" w:hAnsi="Titillium Web" w:cs="Times New Roman"/>
                <w:szCs w:val="24"/>
              </w:rPr>
              <w:t>?) (senza IG; ferro)</w:t>
            </w:r>
          </w:p>
        </w:tc>
      </w:tr>
      <w:tr w:rsidR="001B5504" w:rsidRPr="008C4BB6" w14:paraId="520D9732" w14:textId="77777777" w:rsidTr="001B5504">
        <w:trPr>
          <w:jc w:val="center"/>
        </w:trPr>
        <w:tc>
          <w:tcPr>
            <w:tcW w:w="1650" w:type="pct"/>
            <w:vAlign w:val="center"/>
          </w:tcPr>
          <w:p w14:paraId="24BE97D5"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lastRenderedPageBreak/>
              <w:t>Posizione del corredo</w:t>
            </w:r>
          </w:p>
        </w:tc>
        <w:tc>
          <w:tcPr>
            <w:tcW w:w="3350" w:type="pct"/>
            <w:vAlign w:val="center"/>
          </w:tcPr>
          <w:p w14:paraId="3ED37A74" w14:textId="54FCBD29" w:rsidR="001B5504" w:rsidRPr="008C4BB6" w:rsidRDefault="00340C4E" w:rsidP="00BF212E">
            <w:pPr>
              <w:jc w:val="center"/>
              <w:rPr>
                <w:rFonts w:ascii="Titillium Web" w:hAnsi="Titillium Web"/>
                <w:szCs w:val="24"/>
              </w:rPr>
            </w:pPr>
            <w:r w:rsidRPr="008C4BB6">
              <w:rPr>
                <w:rFonts w:ascii="Titillium Web" w:hAnsi="Titillium Web"/>
                <w:szCs w:val="24"/>
              </w:rPr>
              <w:t>Sotto alle ceneri</w:t>
            </w:r>
          </w:p>
        </w:tc>
      </w:tr>
      <w:tr w:rsidR="001B5504" w:rsidRPr="008C4BB6" w14:paraId="05ACB002" w14:textId="77777777" w:rsidTr="001B5504">
        <w:trPr>
          <w:jc w:val="center"/>
        </w:trPr>
        <w:tc>
          <w:tcPr>
            <w:tcW w:w="1650" w:type="pct"/>
            <w:vAlign w:val="center"/>
          </w:tcPr>
          <w:p w14:paraId="6E6E37F2"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Stato di conservazione e affidabilità del corredo</w:t>
            </w:r>
          </w:p>
        </w:tc>
        <w:tc>
          <w:tcPr>
            <w:tcW w:w="3350" w:type="pct"/>
            <w:vAlign w:val="center"/>
          </w:tcPr>
          <w:p w14:paraId="66E8A271" w14:textId="0012D7A2" w:rsidR="001B5504" w:rsidRPr="008C4BB6" w:rsidRDefault="0020509C" w:rsidP="00BF212E">
            <w:pPr>
              <w:jc w:val="center"/>
              <w:rPr>
                <w:rFonts w:ascii="Titillium Web" w:hAnsi="Titillium Web"/>
                <w:szCs w:val="24"/>
              </w:rPr>
            </w:pPr>
            <w:r w:rsidRPr="008C4BB6">
              <w:rPr>
                <w:rFonts w:ascii="Titillium Web" w:hAnsi="Titillium Web"/>
                <w:szCs w:val="24"/>
              </w:rPr>
              <w:t>/</w:t>
            </w:r>
          </w:p>
        </w:tc>
      </w:tr>
      <w:tr w:rsidR="001B5504" w:rsidRPr="008C4BB6" w14:paraId="6E424069" w14:textId="77777777" w:rsidTr="001B5504">
        <w:trPr>
          <w:jc w:val="center"/>
        </w:trPr>
        <w:tc>
          <w:tcPr>
            <w:tcW w:w="1650" w:type="pct"/>
            <w:vAlign w:val="center"/>
          </w:tcPr>
          <w:p w14:paraId="4CE8DFDE"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Genere (legato all’analisi del corredo)</w:t>
            </w:r>
          </w:p>
        </w:tc>
        <w:tc>
          <w:tcPr>
            <w:tcW w:w="3350" w:type="pct"/>
            <w:vAlign w:val="center"/>
          </w:tcPr>
          <w:p w14:paraId="04E55D8B" w14:textId="15D5D226" w:rsidR="001B5504" w:rsidRPr="008C4BB6" w:rsidRDefault="001B5504" w:rsidP="00BF212E">
            <w:pPr>
              <w:jc w:val="center"/>
              <w:rPr>
                <w:rFonts w:ascii="Titillium Web" w:hAnsi="Titillium Web"/>
                <w:szCs w:val="24"/>
              </w:rPr>
            </w:pPr>
            <w:r w:rsidRPr="008C4BB6">
              <w:rPr>
                <w:rFonts w:ascii="Titillium Web" w:hAnsi="Titillium Web"/>
                <w:szCs w:val="24"/>
              </w:rPr>
              <w:t>Non determinabile</w:t>
            </w:r>
          </w:p>
        </w:tc>
      </w:tr>
      <w:tr w:rsidR="001B5504" w:rsidRPr="008C4BB6" w14:paraId="7C1BF645" w14:textId="77777777" w:rsidTr="001B5504">
        <w:trPr>
          <w:jc w:val="center"/>
        </w:trPr>
        <w:tc>
          <w:tcPr>
            <w:tcW w:w="1650" w:type="pct"/>
            <w:vAlign w:val="center"/>
          </w:tcPr>
          <w:p w14:paraId="7EADEEB5"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Sesso (legato alle analisi antropologiche)</w:t>
            </w:r>
          </w:p>
        </w:tc>
        <w:tc>
          <w:tcPr>
            <w:tcW w:w="3350" w:type="pct"/>
            <w:vAlign w:val="center"/>
          </w:tcPr>
          <w:p w14:paraId="5D17FB99" w14:textId="46EBB367" w:rsidR="001B5504" w:rsidRPr="008C4BB6" w:rsidRDefault="001B5504" w:rsidP="00BF212E">
            <w:pPr>
              <w:jc w:val="center"/>
              <w:rPr>
                <w:rFonts w:ascii="Titillium Web" w:hAnsi="Titillium Web"/>
                <w:szCs w:val="24"/>
              </w:rPr>
            </w:pPr>
            <w:r w:rsidRPr="008C4BB6">
              <w:rPr>
                <w:rFonts w:ascii="Titillium Web" w:hAnsi="Titillium Web"/>
                <w:szCs w:val="24"/>
              </w:rPr>
              <w:t>Non determinabile</w:t>
            </w:r>
          </w:p>
        </w:tc>
      </w:tr>
      <w:tr w:rsidR="001B5504" w:rsidRPr="008C4BB6" w14:paraId="498C4222" w14:textId="77777777" w:rsidTr="001B5504">
        <w:trPr>
          <w:jc w:val="center"/>
        </w:trPr>
        <w:tc>
          <w:tcPr>
            <w:tcW w:w="1650" w:type="pct"/>
            <w:vAlign w:val="center"/>
          </w:tcPr>
          <w:p w14:paraId="57C39F2A"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Classi di età</w:t>
            </w:r>
          </w:p>
        </w:tc>
        <w:tc>
          <w:tcPr>
            <w:tcW w:w="3350" w:type="pct"/>
            <w:vAlign w:val="center"/>
          </w:tcPr>
          <w:p w14:paraId="3FA8CB4E" w14:textId="5B4E47B7" w:rsidR="001B5504" w:rsidRPr="008C4BB6" w:rsidRDefault="001B5504" w:rsidP="00BF212E">
            <w:pPr>
              <w:jc w:val="center"/>
              <w:rPr>
                <w:rFonts w:ascii="Titillium Web" w:hAnsi="Titillium Web"/>
                <w:szCs w:val="24"/>
              </w:rPr>
            </w:pPr>
            <w:r w:rsidRPr="008C4BB6">
              <w:rPr>
                <w:rFonts w:ascii="Titillium Web" w:hAnsi="Titillium Web"/>
                <w:szCs w:val="24"/>
              </w:rPr>
              <w:t>Subadulto</w:t>
            </w:r>
          </w:p>
        </w:tc>
      </w:tr>
      <w:tr w:rsidR="001B5504" w:rsidRPr="008C4BB6" w14:paraId="698056B7" w14:textId="77777777" w:rsidTr="001B5504">
        <w:trPr>
          <w:jc w:val="center"/>
        </w:trPr>
        <w:tc>
          <w:tcPr>
            <w:tcW w:w="1650" w:type="pct"/>
            <w:vAlign w:val="center"/>
          </w:tcPr>
          <w:p w14:paraId="225E12C1"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Cronologia</w:t>
            </w:r>
          </w:p>
        </w:tc>
        <w:tc>
          <w:tcPr>
            <w:tcW w:w="3350" w:type="pct"/>
            <w:vAlign w:val="center"/>
          </w:tcPr>
          <w:p w14:paraId="440AB2F6" w14:textId="65221464" w:rsidR="001B5504" w:rsidRPr="008C4BB6" w:rsidRDefault="001B5504" w:rsidP="00BF212E">
            <w:pPr>
              <w:jc w:val="center"/>
              <w:rPr>
                <w:rFonts w:ascii="Titillium Web" w:hAnsi="Titillium Web"/>
                <w:szCs w:val="24"/>
              </w:rPr>
            </w:pPr>
            <w:r w:rsidRPr="008C4BB6">
              <w:rPr>
                <w:rFonts w:ascii="Titillium Web" w:hAnsi="Titillium Web"/>
                <w:szCs w:val="24"/>
              </w:rPr>
              <w:t>Fine V – inizi IV sec. a.C.</w:t>
            </w:r>
          </w:p>
        </w:tc>
      </w:tr>
      <w:tr w:rsidR="001B5504" w:rsidRPr="008C4BB6" w14:paraId="3105DEE4" w14:textId="77777777" w:rsidTr="001B5504">
        <w:trPr>
          <w:jc w:val="center"/>
        </w:trPr>
        <w:tc>
          <w:tcPr>
            <w:tcW w:w="1650" w:type="pct"/>
            <w:vAlign w:val="center"/>
          </w:tcPr>
          <w:p w14:paraId="2DF8B210"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Bibliografia (della tomba)</w:t>
            </w:r>
          </w:p>
        </w:tc>
        <w:tc>
          <w:tcPr>
            <w:tcW w:w="3350" w:type="pct"/>
            <w:vAlign w:val="center"/>
          </w:tcPr>
          <w:p w14:paraId="38D3D101" w14:textId="5F5A04EE" w:rsidR="001B5504" w:rsidRPr="008C4BB6" w:rsidRDefault="008C4BB6" w:rsidP="00BF212E">
            <w:pPr>
              <w:jc w:val="center"/>
              <w:rPr>
                <w:rFonts w:ascii="Titillium Web" w:hAnsi="Titillium Web"/>
                <w:szCs w:val="24"/>
              </w:rPr>
            </w:pPr>
            <w:r w:rsidRPr="008C4BB6">
              <w:rPr>
                <w:rFonts w:ascii="Titillium Web" w:hAnsi="Titillium Web"/>
                <w:smallCaps/>
                <w:szCs w:val="24"/>
              </w:rPr>
              <w:t>Muggia</w:t>
            </w:r>
            <w:r w:rsidRPr="008C4BB6">
              <w:rPr>
                <w:rFonts w:ascii="Titillium Web" w:hAnsi="Titillium Web"/>
                <w:szCs w:val="24"/>
              </w:rPr>
              <w:t xml:space="preserve"> 2004, pp. 58-59; </w:t>
            </w:r>
            <w:r w:rsidRPr="008C4BB6">
              <w:rPr>
                <w:rFonts w:ascii="Titillium Web" w:hAnsi="Titillium Web"/>
                <w:smallCaps/>
                <w:szCs w:val="24"/>
              </w:rPr>
              <w:t>Serra</w:t>
            </w:r>
            <w:r w:rsidRPr="008C4BB6">
              <w:rPr>
                <w:rFonts w:ascii="Titillium Web" w:hAnsi="Titillium Web"/>
                <w:szCs w:val="24"/>
              </w:rPr>
              <w:t xml:space="preserve"> 2025, p. 110, tab. 7, p. 115, tab. 8, p. 231.</w:t>
            </w:r>
          </w:p>
        </w:tc>
      </w:tr>
      <w:tr w:rsidR="001B5504" w:rsidRPr="008C4BB6" w14:paraId="6887A6E3" w14:textId="77777777" w:rsidTr="001B5504">
        <w:trPr>
          <w:jc w:val="center"/>
        </w:trPr>
        <w:tc>
          <w:tcPr>
            <w:tcW w:w="1650" w:type="pct"/>
            <w:vAlign w:val="center"/>
          </w:tcPr>
          <w:p w14:paraId="4944AE43" w14:textId="77777777" w:rsidR="001B5504" w:rsidRPr="008C4BB6" w:rsidRDefault="001B5504" w:rsidP="00BF212E">
            <w:pPr>
              <w:jc w:val="center"/>
              <w:rPr>
                <w:rFonts w:ascii="Titillium Web" w:hAnsi="Titillium Web"/>
                <w:smallCaps/>
                <w:szCs w:val="24"/>
              </w:rPr>
            </w:pPr>
            <w:r w:rsidRPr="008C4BB6">
              <w:rPr>
                <w:rFonts w:ascii="Titillium Web" w:hAnsi="Titillium Web"/>
                <w:smallCaps/>
                <w:szCs w:val="24"/>
              </w:rPr>
              <w:t>Link alla pubblicazione</w:t>
            </w:r>
          </w:p>
        </w:tc>
        <w:tc>
          <w:tcPr>
            <w:tcW w:w="3350" w:type="pct"/>
            <w:vAlign w:val="center"/>
          </w:tcPr>
          <w:p w14:paraId="6ADE2D95" w14:textId="5EBDA977" w:rsidR="001B5504" w:rsidRPr="008C4BB6"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B5504"/>
    <w:rsid w:val="001F2833"/>
    <w:rsid w:val="0020509C"/>
    <w:rsid w:val="00237E41"/>
    <w:rsid w:val="0029024B"/>
    <w:rsid w:val="002977D7"/>
    <w:rsid w:val="002F1500"/>
    <w:rsid w:val="00340C4E"/>
    <w:rsid w:val="00465E41"/>
    <w:rsid w:val="00472AF4"/>
    <w:rsid w:val="005B53A4"/>
    <w:rsid w:val="005B5AFF"/>
    <w:rsid w:val="0068458A"/>
    <w:rsid w:val="00710B38"/>
    <w:rsid w:val="007145BC"/>
    <w:rsid w:val="00780626"/>
    <w:rsid w:val="007D54CD"/>
    <w:rsid w:val="008C4BB6"/>
    <w:rsid w:val="00942E70"/>
    <w:rsid w:val="00943EAC"/>
    <w:rsid w:val="00950348"/>
    <w:rsid w:val="00975CA9"/>
    <w:rsid w:val="00997946"/>
    <w:rsid w:val="009E4922"/>
    <w:rsid w:val="009E4D92"/>
    <w:rsid w:val="00A52A70"/>
    <w:rsid w:val="00B165C4"/>
    <w:rsid w:val="00B86B2D"/>
    <w:rsid w:val="00BE2CB2"/>
    <w:rsid w:val="00BE63CC"/>
    <w:rsid w:val="00BF212E"/>
    <w:rsid w:val="00C21EE0"/>
    <w:rsid w:val="00C30F5C"/>
    <w:rsid w:val="00CC46E5"/>
    <w:rsid w:val="00D54723"/>
    <w:rsid w:val="00DB1668"/>
    <w:rsid w:val="00E052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288</Words>
  <Characters>1647</Characters>
  <Application>Microsoft Office Word</Application>
  <DocSecurity>0</DocSecurity>
  <Lines>13</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17</cp:revision>
  <dcterms:created xsi:type="dcterms:W3CDTF">2026-04-28T14:33:00Z</dcterms:created>
  <dcterms:modified xsi:type="dcterms:W3CDTF">2026-05-18T06:42:00Z</dcterms:modified>
</cp:coreProperties>
</file>