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143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544EB8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544EB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4EB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544EB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44EB8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544EB8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544EB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4EB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544EB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44EB8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544EB8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544EB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4EB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544EB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44EB8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1B5504" w:rsidRPr="00544EB8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544EB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4EB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544EB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44EB8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1B5504" w:rsidRPr="00544EB8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544EB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4EB8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333CF1EE" w:rsidR="001B5504" w:rsidRPr="00544EB8" w:rsidRDefault="00A45A42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44EB8">
              <w:rPr>
                <w:rFonts w:ascii="Titillium Web" w:hAnsi="Titillium Web"/>
                <w:szCs w:val="24"/>
              </w:rPr>
              <w:t>0,90 m</w:t>
            </w:r>
          </w:p>
        </w:tc>
      </w:tr>
      <w:tr w:rsidR="001B5504" w:rsidRPr="00544EB8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544EB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4EB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544EB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44EB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544EB8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544EB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4EB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441A0A1B" w:rsidR="001B5504" w:rsidRPr="00544EB8" w:rsidRDefault="00A45A42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44EB8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544EB8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544EB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4EB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36029510" w:rsidR="001B5504" w:rsidRPr="00544EB8" w:rsidRDefault="00A45A42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44EB8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544EB8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544EB8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4EB8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4EBEE204" w14:textId="77777777" w:rsidR="006B32AA" w:rsidRPr="00544EB8" w:rsidRDefault="006B32AA" w:rsidP="006B32AA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544EB8">
              <w:rPr>
                <w:rFonts w:ascii="Titillium Web" w:hAnsi="Titillium Web" w:cs="Times New Roman"/>
                <w:i/>
                <w:iCs/>
                <w:szCs w:val="24"/>
              </w:rPr>
              <w:t xml:space="preserve">143 Tomba a cremazione – </w:t>
            </w:r>
          </w:p>
          <w:p w14:paraId="0BF18DAC" w14:textId="77777777" w:rsidR="006B32AA" w:rsidRPr="00544EB8" w:rsidRDefault="006B32AA" w:rsidP="006B32AA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544EB8">
              <w:rPr>
                <w:rFonts w:ascii="Titillium Web" w:hAnsi="Titillium Web" w:cs="Times New Roman"/>
                <w:i/>
                <w:iCs/>
                <w:szCs w:val="24"/>
              </w:rPr>
              <w:t>A m. 8,50 dal bordo Sud...e a m. 9 dal canale, alla profondità di m. 0,90 poggiava un gruppo di vasi così distribuiti:</w:t>
            </w:r>
          </w:p>
          <w:p w14:paraId="4CD4A745" w14:textId="77777777" w:rsidR="006B32AA" w:rsidRPr="00544EB8" w:rsidRDefault="006B32AA" w:rsidP="006B32AA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544EB8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una kelebe in frammenti </w:t>
            </w:r>
            <w:r w:rsidRPr="00544EB8">
              <w:rPr>
                <w:rFonts w:ascii="Titillium Web" w:hAnsi="Titillium Web" w:cs="Times New Roman"/>
                <w:i/>
                <w:iCs/>
                <w:szCs w:val="24"/>
              </w:rPr>
              <w:t xml:space="preserve">a </w:t>
            </w:r>
            <w:proofErr w:type="spellStart"/>
            <w:r w:rsidRPr="00544EB8">
              <w:rPr>
                <w:rFonts w:ascii="Titillium Web" w:hAnsi="Titillium Web" w:cs="Times New Roman"/>
                <w:i/>
                <w:iCs/>
                <w:szCs w:val="24"/>
              </w:rPr>
              <w:t>f.r</w:t>
            </w:r>
            <w:proofErr w:type="spellEnd"/>
            <w:r w:rsidRPr="00544EB8">
              <w:rPr>
                <w:rFonts w:ascii="Titillium Web" w:hAnsi="Titillium Web" w:cs="Times New Roman"/>
                <w:i/>
                <w:iCs/>
                <w:szCs w:val="24"/>
              </w:rPr>
              <w:t xml:space="preserve">. (a ponente). La kelebe è a colonnette, e sul lato nobile è disegnata una scena di banchetto. Sul cline è sdraiato un uomo barbato e con il braccio destro proteso in avanti e nella mano una kylix e nella destra altra kylix, nel rovescio una figura marciante. Il disegno è discreto e la kelebe è benissimo restaurabile. </w:t>
            </w:r>
          </w:p>
          <w:p w14:paraId="1521ED38" w14:textId="77777777" w:rsidR="006B32AA" w:rsidRPr="00544EB8" w:rsidRDefault="006B32AA" w:rsidP="006B32AA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544EB8">
              <w:rPr>
                <w:rFonts w:ascii="Titillium Web" w:hAnsi="Titillium Web" w:cs="Times New Roman"/>
                <w:i/>
                <w:iCs/>
                <w:szCs w:val="24"/>
              </w:rPr>
              <w:t xml:space="preserve">a levante della kelebe era: </w:t>
            </w:r>
          </w:p>
          <w:p w14:paraId="51962714" w14:textId="77777777" w:rsidR="006B32AA" w:rsidRPr="00544EB8" w:rsidRDefault="006B32AA" w:rsidP="006B32AA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proofErr w:type="gramStart"/>
            <w:r w:rsidRPr="00544EB8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 dolio di impasto</w:t>
            </w:r>
            <w:r w:rsidRPr="00544EB8">
              <w:rPr>
                <w:rFonts w:ascii="Titillium Web" w:hAnsi="Titillium Web" w:cs="Times New Roman"/>
                <w:i/>
                <w:iCs/>
                <w:szCs w:val="24"/>
              </w:rPr>
              <w:t xml:space="preserve"> grossolano e completamente marcito,</w:t>
            </w:r>
            <w:proofErr w:type="gramEnd"/>
            <w:r w:rsidRPr="00544EB8">
              <w:rPr>
                <w:rFonts w:ascii="Titillium Web" w:hAnsi="Titillium Web" w:cs="Times New Roman"/>
                <w:i/>
                <w:iCs/>
                <w:szCs w:val="24"/>
              </w:rPr>
              <w:t xml:space="preserve"> non fu raccolto; entro al dolio erano le ossa combuste. </w:t>
            </w:r>
          </w:p>
          <w:p w14:paraId="08660AC7" w14:textId="77777777" w:rsidR="006B32AA" w:rsidRPr="00544EB8" w:rsidRDefault="006B32AA" w:rsidP="006B32AA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544EB8">
              <w:rPr>
                <w:rFonts w:ascii="Titillium Web" w:hAnsi="Titillium Web" w:cs="Times New Roman"/>
                <w:i/>
                <w:iCs/>
                <w:szCs w:val="24"/>
              </w:rPr>
              <w:t xml:space="preserve">A S dei due vasi era: </w:t>
            </w:r>
          </w:p>
          <w:p w14:paraId="4DB825F8" w14:textId="19A5F116" w:rsidR="006B32AA" w:rsidRPr="00544EB8" w:rsidRDefault="006B32AA" w:rsidP="006B32AA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544EB8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una oinochoe a v.n.</w:t>
            </w:r>
            <w:r w:rsidRPr="00544EB8">
              <w:rPr>
                <w:rFonts w:ascii="Titillium Web" w:hAnsi="Titillium Web" w:cs="Times New Roman"/>
                <w:i/>
                <w:iCs/>
                <w:szCs w:val="24"/>
              </w:rPr>
              <w:t>, a bocca trilobata, in frammenti;</w:t>
            </w:r>
          </w:p>
          <w:p w14:paraId="2C958558" w14:textId="77777777" w:rsidR="006B32AA" w:rsidRPr="00544EB8" w:rsidRDefault="006B32AA" w:rsidP="006B32AA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544EB8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altro oinochoe di form</w:t>
            </w:r>
            <w:r w:rsidRPr="00544EB8">
              <w:rPr>
                <w:rFonts w:ascii="Titillium Web" w:hAnsi="Titillium Web" w:cs="Times New Roman"/>
                <w:i/>
                <w:iCs/>
                <w:szCs w:val="24"/>
              </w:rPr>
              <w:t xml:space="preserve">a allungata, con bocca circolare, uguale a quelli della tomba 92 (leggi T. 136). </w:t>
            </w:r>
          </w:p>
          <w:p w14:paraId="1A6B7E7E" w14:textId="10AE556A" w:rsidR="001B5504" w:rsidRPr="00544EB8" w:rsidRDefault="006B32AA" w:rsidP="006B32AA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544EB8">
              <w:rPr>
                <w:rFonts w:ascii="Titillium Web" w:hAnsi="Titillium Web" w:cs="Times New Roman"/>
                <w:i/>
                <w:iCs/>
                <w:szCs w:val="24"/>
              </w:rPr>
              <w:t>Nulla più.</w:t>
            </w:r>
          </w:p>
        </w:tc>
      </w:tr>
      <w:tr w:rsidR="001B5504" w:rsidRPr="00544EB8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544EB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4EB8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5FFA65C5" w14:textId="77777777" w:rsidR="00F970EF" w:rsidRPr="00544EB8" w:rsidRDefault="00F970EF" w:rsidP="00E37B55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544EB8">
              <w:rPr>
                <w:rFonts w:ascii="Titillium Web" w:hAnsi="Titillium Web" w:cs="Times New Roman"/>
                <w:szCs w:val="24"/>
              </w:rPr>
              <w:t xml:space="preserve">I resti del defunto erano collocati in un’olla di produzione locale, non recuperata a causa del pessimo stato di conservazione (n. 1*). Il corredo era posto al di fuori del cinerario ed era costituito da tre vasi attici, un cratere a </w:t>
            </w:r>
            <w:proofErr w:type="spellStart"/>
            <w:r w:rsidRPr="00544EB8">
              <w:rPr>
                <w:rFonts w:ascii="Titillium Web" w:hAnsi="Titillium Web" w:cs="Times New Roman"/>
                <w:szCs w:val="24"/>
              </w:rPr>
              <w:t>f.r</w:t>
            </w:r>
            <w:proofErr w:type="spellEnd"/>
            <w:r w:rsidRPr="00544EB8">
              <w:rPr>
                <w:rFonts w:ascii="Titillium Web" w:hAnsi="Titillium Web" w:cs="Times New Roman"/>
                <w:szCs w:val="24"/>
              </w:rPr>
              <w:t xml:space="preserve">. e due </w:t>
            </w:r>
            <w:r w:rsidRPr="00544EB8">
              <w:rPr>
                <w:rFonts w:ascii="Titillium Web" w:hAnsi="Titillium Web" w:cs="Times New Roman"/>
                <w:i/>
                <w:iCs/>
                <w:szCs w:val="24"/>
              </w:rPr>
              <w:t>oinochoai</w:t>
            </w:r>
            <w:r w:rsidRPr="00544EB8">
              <w:rPr>
                <w:rFonts w:ascii="Titillium Web" w:hAnsi="Titillium Web" w:cs="Times New Roman"/>
                <w:szCs w:val="24"/>
              </w:rPr>
              <w:t xml:space="preserve"> a v.n. (nn. 2-4).</w:t>
            </w:r>
          </w:p>
          <w:p w14:paraId="2F7468DA" w14:textId="301481B4" w:rsidR="00EF36AE" w:rsidRPr="00544EB8" w:rsidRDefault="00EF36AE" w:rsidP="00E37B55">
            <w:pPr>
              <w:jc w:val="center"/>
              <w:rPr>
                <w:rFonts w:ascii="Titillium Web" w:hAnsi="Titillium Web"/>
                <w:szCs w:val="24"/>
              </w:rPr>
            </w:pPr>
            <w:r w:rsidRPr="00544EB8">
              <w:rPr>
                <w:rFonts w:ascii="Titillium Web" w:hAnsi="Titillium Web"/>
                <w:szCs w:val="24"/>
              </w:rPr>
              <w:t>1*. Olla di produzione locale (ceramica grezza)</w:t>
            </w:r>
          </w:p>
          <w:p w14:paraId="1FE736C8" w14:textId="7DB682FD" w:rsidR="00EF36AE" w:rsidRPr="00544EB8" w:rsidRDefault="00EF36AE" w:rsidP="00E37B55">
            <w:pPr>
              <w:jc w:val="center"/>
              <w:rPr>
                <w:rFonts w:ascii="Titillium Web" w:hAnsi="Titillium Web"/>
                <w:szCs w:val="24"/>
              </w:rPr>
            </w:pPr>
            <w:r w:rsidRPr="00544EB8">
              <w:rPr>
                <w:rFonts w:ascii="Titillium Web" w:hAnsi="Titillium Web"/>
                <w:szCs w:val="24"/>
              </w:rPr>
              <w:t xml:space="preserve">2. </w:t>
            </w:r>
            <w:hyperlink r:id="rId5" w:history="1">
              <w:r w:rsidRPr="00544EB8">
                <w:rPr>
                  <w:rStyle w:val="Collegamentoipertestuale"/>
                  <w:rFonts w:ascii="Titillium Web" w:hAnsi="Titillium Web"/>
                  <w:b/>
                  <w:bCs/>
                  <w:szCs w:val="24"/>
                </w:rPr>
                <w:t>Cratere a colonnette attico</w:t>
              </w:r>
            </w:hyperlink>
            <w:r w:rsidRPr="00544EB8">
              <w:rPr>
                <w:rFonts w:ascii="Titillium Web" w:hAnsi="Titillium Web"/>
                <w:szCs w:val="24"/>
              </w:rPr>
              <w:t xml:space="preserve"> (IG 3111; figure rosse)</w:t>
            </w:r>
          </w:p>
          <w:p w14:paraId="042D6A5B" w14:textId="77777777" w:rsidR="00EF36AE" w:rsidRPr="00544EB8" w:rsidRDefault="00EF36AE" w:rsidP="00E37B55">
            <w:pPr>
              <w:jc w:val="center"/>
              <w:rPr>
                <w:rFonts w:ascii="Titillium Web" w:hAnsi="Titillium Web"/>
                <w:szCs w:val="24"/>
              </w:rPr>
            </w:pPr>
            <w:r w:rsidRPr="00544EB8">
              <w:rPr>
                <w:rFonts w:ascii="Titillium Web" w:hAnsi="Titillium Web"/>
                <w:szCs w:val="24"/>
              </w:rPr>
              <w:t>3. Oinochoe attica a bocca trilobata (IG 1172; vernice nera)</w:t>
            </w:r>
          </w:p>
          <w:p w14:paraId="5EE32F9C" w14:textId="5D55D469" w:rsidR="001B5504" w:rsidRPr="00544EB8" w:rsidRDefault="00EF36AE" w:rsidP="00E37B55">
            <w:pPr>
              <w:jc w:val="center"/>
              <w:rPr>
                <w:rFonts w:ascii="Titillium Web" w:hAnsi="Titillium Web"/>
                <w:szCs w:val="24"/>
              </w:rPr>
            </w:pPr>
            <w:r w:rsidRPr="00544EB8">
              <w:rPr>
                <w:rFonts w:ascii="Titillium Web" w:hAnsi="Titillium Web"/>
                <w:szCs w:val="24"/>
              </w:rPr>
              <w:lastRenderedPageBreak/>
              <w:t>4. Oinochoe attica a bocca rotonda (IG 1171; vernice nera)</w:t>
            </w:r>
          </w:p>
        </w:tc>
      </w:tr>
      <w:tr w:rsidR="001B5504" w:rsidRPr="00544EB8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544EB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4EB8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095AC3E3" w:rsidR="001B5504" w:rsidRPr="00544EB8" w:rsidRDefault="00F970EF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44EB8">
              <w:rPr>
                <w:rFonts w:ascii="Titillium Web" w:hAnsi="Titillium Web"/>
                <w:szCs w:val="24"/>
              </w:rPr>
              <w:t>Fuori il cinerario</w:t>
            </w:r>
          </w:p>
        </w:tc>
      </w:tr>
      <w:tr w:rsidR="001B5504" w:rsidRPr="00544EB8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544EB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4EB8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6A3BDB68" w:rsidR="001B5504" w:rsidRPr="00544EB8" w:rsidRDefault="00A45A42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44EB8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544EB8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544EB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4EB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544EB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44EB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544EB8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544EB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4EB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544EB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44EB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544EB8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544EB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4EB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544EB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44EB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544EB8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544EB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4EB8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544EB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44EB8">
              <w:rPr>
                <w:rFonts w:ascii="Titillium Web" w:hAnsi="Titillium Web"/>
                <w:szCs w:val="24"/>
              </w:rPr>
              <w:t>475-450 a.C.</w:t>
            </w:r>
          </w:p>
        </w:tc>
      </w:tr>
      <w:tr w:rsidR="001B5504" w:rsidRPr="00544EB8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544EB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4EB8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67752328" w:rsidR="001B5504" w:rsidRPr="00544EB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44EB8">
              <w:rPr>
                <w:rFonts w:ascii="Titillium Web" w:hAnsi="Titillium Web"/>
                <w:smallCaps/>
                <w:szCs w:val="24"/>
              </w:rPr>
              <w:t>Negrioli</w:t>
            </w:r>
            <w:r w:rsidRPr="00544EB8">
              <w:rPr>
                <w:rFonts w:ascii="Titillium Web" w:hAnsi="Titillium Web"/>
                <w:szCs w:val="24"/>
              </w:rPr>
              <w:t xml:space="preserve"> 1924, p. 316; </w:t>
            </w:r>
            <w:r w:rsidRPr="00544EB8">
              <w:rPr>
                <w:rFonts w:ascii="Titillium Web" w:hAnsi="Titillium Web"/>
                <w:smallCaps/>
                <w:szCs w:val="24"/>
              </w:rPr>
              <w:t>Aurigemma</w:t>
            </w:r>
            <w:r w:rsidRPr="00544EB8">
              <w:rPr>
                <w:rFonts w:ascii="Titillium Web" w:hAnsi="Titillium Web"/>
                <w:szCs w:val="24"/>
              </w:rPr>
              <w:t xml:space="preserve"> 1965, p. 52, tavv. 52-53; </w:t>
            </w:r>
            <w:r w:rsidRPr="00544EB8">
              <w:rPr>
                <w:rFonts w:ascii="Titillium Web" w:hAnsi="Titillium Web"/>
                <w:smallCaps/>
                <w:szCs w:val="24"/>
              </w:rPr>
              <w:t>Berti</w:t>
            </w:r>
            <w:r w:rsidRPr="00544EB8">
              <w:rPr>
                <w:rFonts w:ascii="Titillium Web" w:hAnsi="Titillium Web"/>
                <w:szCs w:val="24"/>
              </w:rPr>
              <w:t xml:space="preserve"> 1983, p. 46; </w:t>
            </w:r>
            <w:r w:rsidRPr="00544EB8">
              <w:rPr>
                <w:rFonts w:ascii="Titillium Web" w:hAnsi="Titillium Web"/>
                <w:smallCaps/>
                <w:szCs w:val="24"/>
              </w:rPr>
              <w:t>Berti, Guzzo</w:t>
            </w:r>
            <w:r w:rsidRPr="00544EB8">
              <w:rPr>
                <w:rFonts w:ascii="Titillium Web" w:hAnsi="Titillium Web"/>
                <w:szCs w:val="24"/>
              </w:rPr>
              <w:t xml:space="preserve"> 1993, p. 278, nn. 179-181.</w:t>
            </w:r>
          </w:p>
        </w:tc>
      </w:tr>
      <w:tr w:rsidR="001B5504" w:rsidRPr="00544EB8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544EB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4EB8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544EB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D72F4"/>
    <w:rsid w:val="001B5504"/>
    <w:rsid w:val="001F2833"/>
    <w:rsid w:val="00237E41"/>
    <w:rsid w:val="0029024B"/>
    <w:rsid w:val="002977D7"/>
    <w:rsid w:val="002F1500"/>
    <w:rsid w:val="00472AF4"/>
    <w:rsid w:val="00544EB8"/>
    <w:rsid w:val="005B5AFF"/>
    <w:rsid w:val="0068458A"/>
    <w:rsid w:val="006B32AA"/>
    <w:rsid w:val="00710B38"/>
    <w:rsid w:val="007145BC"/>
    <w:rsid w:val="007D54CD"/>
    <w:rsid w:val="00942E70"/>
    <w:rsid w:val="00943EAC"/>
    <w:rsid w:val="00950348"/>
    <w:rsid w:val="00975CA9"/>
    <w:rsid w:val="00997946"/>
    <w:rsid w:val="009E4922"/>
    <w:rsid w:val="00A45A42"/>
    <w:rsid w:val="00A52A70"/>
    <w:rsid w:val="00B165C4"/>
    <w:rsid w:val="00B86B2D"/>
    <w:rsid w:val="00BE2CB2"/>
    <w:rsid w:val="00BE63CC"/>
    <w:rsid w:val="00BF212E"/>
    <w:rsid w:val="00C21EE0"/>
    <w:rsid w:val="00C30F5C"/>
    <w:rsid w:val="00CC46E5"/>
    <w:rsid w:val="00D54723"/>
    <w:rsid w:val="00DB1668"/>
    <w:rsid w:val="00E0524C"/>
    <w:rsid w:val="00E37B55"/>
    <w:rsid w:val="00EF36AE"/>
    <w:rsid w:val="00F97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  <w:style w:type="character" w:styleId="Menzionenonrisolta">
    <w:name w:val="Unresolved Mention"/>
    <w:basedOn w:val="Carpredefinitoparagrafo"/>
    <w:uiPriority w:val="99"/>
    <w:semiHidden/>
    <w:unhideWhenUsed/>
    <w:rsid w:val="00E37B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arc.ox.ac.uk/XDB/ASP/recordDetails.asp?id=%7b2F30A393-2FF8-4658-8783-10767BE75852%7d&amp;noResults=1&amp;recordCount=1&amp;databaseID=%7b12FC52A7-0E32-4A81-9FFA-C8C6CF430677%7d&amp;search=%20%7bAND%7d%2020603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348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16</cp:revision>
  <dcterms:created xsi:type="dcterms:W3CDTF">2026-04-28T14:33:00Z</dcterms:created>
  <dcterms:modified xsi:type="dcterms:W3CDTF">2026-05-18T07:10:00Z</dcterms:modified>
</cp:coreProperties>
</file>