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3E48C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3E48C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3E48C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3E48C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3E48C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1,0 m</w:t>
            </w:r>
          </w:p>
        </w:tc>
      </w:tr>
      <w:tr w:rsidR="001B5504" w:rsidRPr="003E48C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3E48C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1B5504" w:rsidRPr="003E48C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3CAFB0A" w:rsidR="001B5504" w:rsidRPr="003E48C8" w:rsidRDefault="005A7F0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E48C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3E48C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2715802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Tomba 147 a umazione</w:t>
            </w:r>
          </w:p>
          <w:p w14:paraId="2149F7AE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Sul bordo Sud dello scavo, a m. 32 dal canale e profondo m. 1,00 poggiava uno scheletro orientato da N-N-O a SS.E. Presso il fianco destro aveva:</w:t>
            </w:r>
          </w:p>
          <w:p w14:paraId="2DAF9578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lekane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con coperchio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, in frammenti, decorata la tazza di meandri e il coperchio di disegni di palmette e testa femminile. Il disegno è trasandato. </w:t>
            </w:r>
          </w:p>
          <w:p w14:paraId="4405EC78" w14:textId="69303760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A pennello lettera B sulla tazza e sotto il coperchio della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lekane</w:t>
            </w:r>
            <w:proofErr w:type="spellEnd"/>
          </w:p>
          <w:p w14:paraId="324D8333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terra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 gialla chiara a forma di fiasca senza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. – è intero</w:t>
            </w:r>
          </w:p>
          <w:p w14:paraId="62AEF991" w14:textId="1DBF63C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con beccuccio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a cartoccio, a ver. n., con ansa staccata e ventre rotondo</w:t>
            </w:r>
          </w:p>
          <w:p w14:paraId="6DA918CC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lucerna a v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.n., rotonda e liscia, con beccuccio staccato e ansa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orrizontale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 rotta.</w:t>
            </w:r>
          </w:p>
          <w:p w14:paraId="0B29443F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aryballos a v.n. con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 palmette (uno è frammentato nel beccuccio)</w:t>
            </w:r>
          </w:p>
          <w:p w14:paraId="492BDB5C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alabstron</w:t>
            </w:r>
            <w:proofErr w:type="spellEnd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 (balsamari) di pasta vitrea, in frammenti</w:t>
            </w:r>
          </w:p>
          <w:p w14:paraId="328B3449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tre tubetti vuoti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di osso, cilindrici, lunghi cm. 8 ½ ciascuno</w:t>
            </w:r>
          </w:p>
          <w:p w14:paraId="2161A286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frammento di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fibula di bronzo (e di argento?)</w:t>
            </w:r>
          </w:p>
          <w:p w14:paraId="39A4A587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dischetti circolari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di osso che chiudevano le estremità dei tubetti di osso.</w:t>
            </w:r>
          </w:p>
          <w:p w14:paraId="7C6F0461" w14:textId="77777777" w:rsidR="00BA58DC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6</w:t>
            </w:r>
            <w:proofErr w:type="gramEnd"/>
            <w:r w:rsidRPr="003E48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tazzette a v.n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. scadente, intere.</w:t>
            </w:r>
          </w:p>
          <w:p w14:paraId="1A6B7E7E" w14:textId="2B66522A" w:rsidR="001B5504" w:rsidRPr="003E48C8" w:rsidRDefault="00BA58DC" w:rsidP="00BA58D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1 piattello di terra chiara comune.</w:t>
            </w:r>
          </w:p>
        </w:tc>
      </w:tr>
      <w:tr w:rsidR="001B5504" w:rsidRPr="003E48C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2FC9CFD" w14:textId="0AA42D3C" w:rsidR="007E5BFE" w:rsidRPr="003E48C8" w:rsidRDefault="007E5BFE" w:rsidP="00507B9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E48C8">
              <w:rPr>
                <w:rFonts w:ascii="Titillium Web" w:hAnsi="Titillium Web" w:cs="Times New Roman"/>
                <w:szCs w:val="24"/>
              </w:rPr>
              <w:t xml:space="preserve">Il corredo era posizionato lungo il fianco destro, senza ulteriori specifiche. Fra gli oggetti raccolti figuravano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>lekythoi</w:t>
            </w:r>
            <w:r w:rsidRPr="003E48C8">
              <w:rPr>
                <w:rFonts w:ascii="Titillium Web" w:hAnsi="Titillium Web" w:cs="Times New Roman"/>
                <w:szCs w:val="24"/>
              </w:rPr>
              <w:t xml:space="preserve"> a </w:t>
            </w:r>
            <w:proofErr w:type="spellStart"/>
            <w:r w:rsidRPr="003E48C8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3E48C8">
              <w:rPr>
                <w:rFonts w:ascii="Titillium Web" w:hAnsi="Titillium Web" w:cs="Times New Roman"/>
                <w:szCs w:val="24"/>
              </w:rPr>
              <w:t xml:space="preserve">. di produzione attica e greco-occidentale (nn. 1-2), una 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lekanis</w:t>
            </w:r>
            <w:proofErr w:type="spellEnd"/>
            <w:r w:rsidRPr="003E48C8">
              <w:rPr>
                <w:rFonts w:ascii="Titillium Web" w:hAnsi="Titillium Web" w:cs="Times New Roman"/>
                <w:szCs w:val="24"/>
              </w:rPr>
              <w:t>, un’</w:t>
            </w:r>
            <w:proofErr w:type="spellStart"/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epichysis</w:t>
            </w:r>
            <w:proofErr w:type="spellEnd"/>
            <w:r w:rsidRPr="003E48C8">
              <w:rPr>
                <w:rFonts w:ascii="Titillium Web" w:hAnsi="Titillium Web" w:cs="Times New Roman"/>
                <w:szCs w:val="24"/>
              </w:rPr>
              <w:t xml:space="preserve">, una ciotola, un piatto ed una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 xml:space="preserve">lekythos </w:t>
            </w:r>
            <w:r w:rsidRPr="003E48C8">
              <w:rPr>
                <w:rFonts w:ascii="Titillium Web" w:hAnsi="Titillium Web" w:cs="Times New Roman"/>
                <w:szCs w:val="24"/>
              </w:rPr>
              <w:t xml:space="preserve">di produzione locale (nn. 3-4, 8, 12-13), nonché tre ciotole volterrane (nn. 5-7) ed i frr. di una conocchia in osso (n. 17). Del corredo sono invece andati perduti una coppia di ciotole – rispetto alle sei menzionate nel GdS – ed un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askòs</w:t>
            </w:r>
            <w:r w:rsidRPr="003E48C8">
              <w:rPr>
                <w:rFonts w:ascii="Titillium Web" w:hAnsi="Titillium Web" w:cs="Times New Roman"/>
                <w:szCs w:val="24"/>
              </w:rPr>
              <w:t xml:space="preserve">, probabilmente lenticolare, a v.n. di produzione sconosciuta (nn. 9*-11*). Risultano infine dispersi anche una fibula in «bronzo (e di argento)» e due </w:t>
            </w:r>
            <w:r w:rsidRPr="003E48C8">
              <w:rPr>
                <w:rFonts w:ascii="Titillium Web" w:hAnsi="Titillium Web" w:cs="Times New Roman"/>
                <w:i/>
                <w:iCs/>
                <w:szCs w:val="24"/>
              </w:rPr>
              <w:t>alabastra</w:t>
            </w:r>
            <w:r w:rsidRPr="003E48C8">
              <w:rPr>
                <w:rFonts w:ascii="Titillium Web" w:hAnsi="Titillium Web" w:cs="Times New Roman"/>
                <w:szCs w:val="24"/>
              </w:rPr>
              <w:t xml:space="preserve"> in pasta vitrea (nn. 14*-16*).</w:t>
            </w:r>
          </w:p>
          <w:p w14:paraId="02038B31" w14:textId="3CA0E5B7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1. Lekythos </w:t>
            </w:r>
            <w:proofErr w:type="spellStart"/>
            <w:r w:rsidRPr="003E48C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3E48C8">
              <w:rPr>
                <w:rFonts w:ascii="Titillium Web" w:hAnsi="Titillium Web"/>
                <w:szCs w:val="24"/>
              </w:rPr>
              <w:t xml:space="preserve"> greco-occidentale (IG 1187; figure rosse)</w:t>
            </w:r>
          </w:p>
          <w:p w14:paraId="5CFF8375" w14:textId="386348A0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2. Lekythos </w:t>
            </w:r>
            <w:proofErr w:type="spellStart"/>
            <w:r w:rsidRPr="003E48C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3E48C8">
              <w:rPr>
                <w:rFonts w:ascii="Titillium Web" w:hAnsi="Titillium Web"/>
                <w:szCs w:val="24"/>
              </w:rPr>
              <w:t xml:space="preserve"> attica (IG 1188; figure rosse)</w:t>
            </w:r>
          </w:p>
          <w:p w14:paraId="5163033C" w14:textId="4EAFBBA3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3. Lekanis alto-adriatica (IG 1189; ceramica alto-adriatica)</w:t>
            </w:r>
          </w:p>
          <w:p w14:paraId="5E7FFC92" w14:textId="4F4A5D90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4. </w:t>
            </w:r>
            <w:proofErr w:type="spellStart"/>
            <w:r w:rsidR="004344EB" w:rsidRPr="003E48C8">
              <w:rPr>
                <w:rFonts w:ascii="Titillium Web" w:hAnsi="Titillium Web"/>
                <w:szCs w:val="24"/>
              </w:rPr>
              <w:t>Epychysis</w:t>
            </w:r>
            <w:proofErr w:type="spellEnd"/>
            <w:r w:rsidR="004344EB" w:rsidRPr="003E48C8">
              <w:rPr>
                <w:rFonts w:ascii="Titillium Web" w:hAnsi="Titillium Web"/>
                <w:szCs w:val="24"/>
              </w:rPr>
              <w:t xml:space="preserve"> </w:t>
            </w:r>
            <w:r w:rsidR="00597956" w:rsidRPr="003E48C8">
              <w:rPr>
                <w:rFonts w:ascii="Titillium Web" w:hAnsi="Titillium Web"/>
                <w:szCs w:val="24"/>
              </w:rPr>
              <w:t>di produzione locale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 (IG 1180; vernice nera suddipinta)</w:t>
            </w:r>
          </w:p>
          <w:p w14:paraId="6F095CD4" w14:textId="4933A593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5. 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Ciotola </w:t>
            </w:r>
            <w:r w:rsidR="00597956" w:rsidRPr="003E48C8">
              <w:rPr>
                <w:rFonts w:ascii="Titillium Web" w:hAnsi="Titillium Web"/>
                <w:szCs w:val="24"/>
              </w:rPr>
              <w:t xml:space="preserve">di produzione </w:t>
            </w:r>
            <w:r w:rsidR="004344EB" w:rsidRPr="003E48C8">
              <w:rPr>
                <w:rFonts w:ascii="Titillium Web" w:hAnsi="Titillium Web"/>
                <w:szCs w:val="24"/>
              </w:rPr>
              <w:t>volterrana (IG 1185; vernice nera)</w:t>
            </w:r>
          </w:p>
          <w:p w14:paraId="553B3184" w14:textId="48A055A1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6. 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Ciotola </w:t>
            </w:r>
            <w:r w:rsidR="00597956" w:rsidRPr="003E48C8">
              <w:rPr>
                <w:rFonts w:ascii="Titillium Web" w:hAnsi="Titillium Web"/>
                <w:szCs w:val="24"/>
              </w:rPr>
              <w:t xml:space="preserve">di produzione </w:t>
            </w:r>
            <w:r w:rsidR="004344EB" w:rsidRPr="003E48C8">
              <w:rPr>
                <w:rFonts w:ascii="Titillium Web" w:hAnsi="Titillium Web"/>
                <w:szCs w:val="24"/>
              </w:rPr>
              <w:t>volterrana (IG 1186; vernice nera)</w:t>
            </w:r>
          </w:p>
          <w:p w14:paraId="5AE78292" w14:textId="39565E53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7. 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Ciotola </w:t>
            </w:r>
            <w:r w:rsidR="00597956" w:rsidRPr="003E48C8">
              <w:rPr>
                <w:rFonts w:ascii="Titillium Web" w:hAnsi="Titillium Web"/>
                <w:szCs w:val="24"/>
              </w:rPr>
              <w:t xml:space="preserve">di produzione </w:t>
            </w:r>
            <w:r w:rsidR="004344EB" w:rsidRPr="003E48C8">
              <w:rPr>
                <w:rFonts w:ascii="Titillium Web" w:hAnsi="Titillium Web"/>
                <w:szCs w:val="24"/>
              </w:rPr>
              <w:t>volterrana (IG 1184; vernice nera)</w:t>
            </w:r>
          </w:p>
          <w:p w14:paraId="7E891146" w14:textId="2D43A13F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8. 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Ciotola </w:t>
            </w:r>
            <w:r w:rsidR="00597956" w:rsidRPr="003E48C8">
              <w:rPr>
                <w:rFonts w:ascii="Titillium Web" w:hAnsi="Titillium Web"/>
                <w:szCs w:val="24"/>
              </w:rPr>
              <w:t>di produzione locale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 (IG 1183; vernice nera)</w:t>
            </w:r>
          </w:p>
          <w:p w14:paraId="6B689C65" w14:textId="4BB42363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9*. Ciotola </w:t>
            </w:r>
            <w:r w:rsidR="00597956" w:rsidRPr="003E48C8">
              <w:rPr>
                <w:rFonts w:ascii="Titillium Web" w:hAnsi="Titillium Web"/>
                <w:szCs w:val="24"/>
              </w:rPr>
              <w:t>di produzione locale</w:t>
            </w:r>
            <w:r w:rsidRPr="003E48C8">
              <w:rPr>
                <w:rFonts w:ascii="Titillium Web" w:hAnsi="Titillium Web"/>
                <w:szCs w:val="24"/>
              </w:rPr>
              <w:t xml:space="preserve"> (vernice nera)</w:t>
            </w:r>
          </w:p>
          <w:p w14:paraId="2744B32C" w14:textId="278FF908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10*. Ciotola </w:t>
            </w:r>
            <w:r w:rsidR="00597956" w:rsidRPr="003E48C8">
              <w:rPr>
                <w:rFonts w:ascii="Titillium Web" w:hAnsi="Titillium Web"/>
                <w:szCs w:val="24"/>
              </w:rPr>
              <w:t>di produzione locale</w:t>
            </w:r>
            <w:r w:rsidRPr="003E48C8">
              <w:rPr>
                <w:rFonts w:ascii="Titillium Web" w:hAnsi="Titillium Web"/>
                <w:szCs w:val="24"/>
              </w:rPr>
              <w:t xml:space="preserve"> (vernice nera)</w:t>
            </w:r>
          </w:p>
          <w:p w14:paraId="119A68CB" w14:textId="4EAA7691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11*. Askòs (vernice nera)</w:t>
            </w:r>
          </w:p>
          <w:p w14:paraId="6BB2E3FF" w14:textId="4AA1B4C1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12. </w:t>
            </w:r>
            <w:r w:rsidR="004344EB" w:rsidRPr="003E48C8">
              <w:rPr>
                <w:rFonts w:ascii="Titillium Web" w:hAnsi="Titillium Web"/>
                <w:szCs w:val="24"/>
              </w:rPr>
              <w:t>Piatto di produzione locale (IG 1182; ceramica depurata)</w:t>
            </w:r>
          </w:p>
          <w:p w14:paraId="48E1ACF1" w14:textId="2AC5FF28" w:rsidR="004344EB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13. </w:t>
            </w:r>
            <w:r w:rsidR="004344EB" w:rsidRPr="003E48C8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4344EB" w:rsidRPr="003E48C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4344EB" w:rsidRPr="003E48C8">
              <w:rPr>
                <w:rFonts w:ascii="Titillium Web" w:hAnsi="Titillium Web"/>
                <w:szCs w:val="24"/>
              </w:rPr>
              <w:t xml:space="preserve"> di produzione locale (IG 1181; ceramica depurata)</w:t>
            </w:r>
          </w:p>
          <w:p w14:paraId="14B46468" w14:textId="03413C57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14*. Fibula (bronzo)</w:t>
            </w:r>
          </w:p>
          <w:p w14:paraId="677CAEDD" w14:textId="556CFE9B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15*. Alabastron (pasta vitrea)</w:t>
            </w:r>
          </w:p>
          <w:p w14:paraId="354D4042" w14:textId="64FDD21C" w:rsidR="004344EB" w:rsidRPr="003E48C8" w:rsidRDefault="004344EB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16*. Alabastron (pasta vitrea)</w:t>
            </w:r>
          </w:p>
          <w:p w14:paraId="5EE32F9C" w14:textId="4D329515" w:rsidR="001B5504" w:rsidRPr="003E48C8" w:rsidRDefault="00B57135" w:rsidP="00507B9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17. </w:t>
            </w:r>
            <w:r w:rsidR="004344EB" w:rsidRPr="003E48C8">
              <w:rPr>
                <w:rFonts w:ascii="Titillium Web" w:hAnsi="Titillium Web"/>
                <w:szCs w:val="24"/>
              </w:rPr>
              <w:t>Conocchia (IG 1190-1192; osso)</w:t>
            </w:r>
          </w:p>
        </w:tc>
      </w:tr>
      <w:tr w:rsidR="001B5504" w:rsidRPr="003E48C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BC9C5D7" w:rsidR="001B5504" w:rsidRPr="003E48C8" w:rsidRDefault="007E5B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3E48C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E11DAEE" w:rsidR="001B5504" w:rsidRPr="003E48C8" w:rsidRDefault="006A6369" w:rsidP="00C94DD3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 xml:space="preserve">Relativamente ai due alabastra in pasta vitrea (nn. 15*-16*), è opportuno ricordare che A. Negrioli nel 1924 menziona come «[…] in un unguentario </w:t>
            </w:r>
            <w:proofErr w:type="spellStart"/>
            <w:r w:rsidRPr="003E48C8">
              <w:rPr>
                <w:rFonts w:ascii="Titillium Web" w:hAnsi="Titillium Web"/>
                <w:szCs w:val="24"/>
              </w:rPr>
              <w:t>alabastriforme</w:t>
            </w:r>
            <w:proofErr w:type="spellEnd"/>
            <w:r w:rsidRPr="003E48C8">
              <w:rPr>
                <w:rFonts w:ascii="Titillium Web" w:hAnsi="Titillium Web"/>
                <w:szCs w:val="24"/>
              </w:rPr>
              <w:t xml:space="preserve"> della tomba 147 fu trovato ancora immesso un bastoncello aguzzo d’avorio che doveva servire all’applicazione dell’unguentario» (</w:t>
            </w:r>
            <w:r w:rsidR="006D4741" w:rsidRPr="006D4741">
              <w:rPr>
                <w:rFonts w:ascii="Titillium Web" w:hAnsi="Titillium Web"/>
                <w:smallCaps/>
                <w:szCs w:val="24"/>
              </w:rPr>
              <w:t>Negrioli</w:t>
            </w:r>
            <w:r w:rsidRPr="003E48C8">
              <w:rPr>
                <w:rFonts w:ascii="Titillium Web" w:hAnsi="Titillium Web"/>
                <w:szCs w:val="24"/>
              </w:rPr>
              <w:t xml:space="preserve"> 1924, p. 302). </w:t>
            </w:r>
            <w:r w:rsidRPr="003E48C8">
              <w:rPr>
                <w:rFonts w:ascii="Titillium Web" w:hAnsi="Titillium Web"/>
                <w:szCs w:val="24"/>
              </w:rPr>
              <w:lastRenderedPageBreak/>
              <w:t>Nel GdS, tuttavia, tale dato non trova riscontro. Questa discrepanza rende pertanto plausibile che l’osservazione del Negrioli debba essere ricondotta ad un’altra tomba. Infine, in IG è stato registrato un candelabro in ferro non descritto dal Proni nel GdS.</w:t>
            </w:r>
          </w:p>
        </w:tc>
      </w:tr>
      <w:tr w:rsidR="001B5504" w:rsidRPr="003E48C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1B5504" w:rsidRPr="003E48C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E48C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E48C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zCs w:val="24"/>
              </w:rPr>
              <w:t>inizi III sec. a.C.</w:t>
            </w:r>
          </w:p>
        </w:tc>
      </w:tr>
      <w:tr w:rsidR="001B5504" w:rsidRPr="003E48C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Berti</w:t>
            </w:r>
            <w:r w:rsidRPr="003E48C8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3E48C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3E48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48C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3E48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3E48C8"/>
    <w:rsid w:val="004344EB"/>
    <w:rsid w:val="00472AF4"/>
    <w:rsid w:val="00507B93"/>
    <w:rsid w:val="00597956"/>
    <w:rsid w:val="005A7F08"/>
    <w:rsid w:val="005B5AFF"/>
    <w:rsid w:val="0068458A"/>
    <w:rsid w:val="006A6369"/>
    <w:rsid w:val="006D4741"/>
    <w:rsid w:val="00710B38"/>
    <w:rsid w:val="007145BC"/>
    <w:rsid w:val="00746287"/>
    <w:rsid w:val="007D54CD"/>
    <w:rsid w:val="007E5BFE"/>
    <w:rsid w:val="00942E70"/>
    <w:rsid w:val="00943EAC"/>
    <w:rsid w:val="00950348"/>
    <w:rsid w:val="00975CA9"/>
    <w:rsid w:val="00997946"/>
    <w:rsid w:val="009E4922"/>
    <w:rsid w:val="00A52A70"/>
    <w:rsid w:val="00B165C4"/>
    <w:rsid w:val="00B57135"/>
    <w:rsid w:val="00B86B2D"/>
    <w:rsid w:val="00BA58DC"/>
    <w:rsid w:val="00BE2CB2"/>
    <w:rsid w:val="00BE63CC"/>
    <w:rsid w:val="00BF212E"/>
    <w:rsid w:val="00C21EE0"/>
    <w:rsid w:val="00C27AAC"/>
    <w:rsid w:val="00C30F5C"/>
    <w:rsid w:val="00C94DD3"/>
    <w:rsid w:val="00CC46E5"/>
    <w:rsid w:val="00D135F6"/>
    <w:rsid w:val="00D54723"/>
    <w:rsid w:val="00DB1668"/>
    <w:rsid w:val="00E0524C"/>
    <w:rsid w:val="00F0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24</cp:revision>
  <dcterms:created xsi:type="dcterms:W3CDTF">2026-04-28T14:33:00Z</dcterms:created>
  <dcterms:modified xsi:type="dcterms:W3CDTF">2026-05-18T08:54:00Z</dcterms:modified>
</cp:coreProperties>
</file>