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149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666206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666206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666206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666206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666206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1B5504" w:rsidRPr="00666206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666206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666206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0BFFF79" w:rsidR="001B5504" w:rsidRPr="00666206" w:rsidRDefault="005A3EC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66206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666206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38C7144E" w14:textId="21FD3472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T. 149 (con due scheletri)</w:t>
            </w:r>
          </w:p>
          <w:p w14:paraId="4862CB7A" w14:textId="77777777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A m. 2 a lev. della precedente, a m. 1,25 di profondità poggiavano 2 scheletri affiancati, orientato da </w:t>
            </w:r>
            <w:proofErr w:type="spell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. A Lev.; dietro le teste era:</w:t>
            </w:r>
          </w:p>
          <w:p w14:paraId="1124EAAE" w14:textId="77777777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un’anfora a puntale, con due anse verticali presso la bocca, di terra giallo chiara e ben cotta Alta </w:t>
            </w:r>
            <w:r w:rsidRPr="00824D3F">
              <w:rPr>
                <w:rFonts w:ascii="Titillium Web" w:hAnsi="Titillium Web" w:cs="Times New Roman"/>
                <w:szCs w:val="24"/>
              </w:rPr>
              <w:t>[…].</w:t>
            </w:r>
          </w:p>
          <w:p w14:paraId="504BC324" w14:textId="77777777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Un </w:t>
            </w:r>
            <w:proofErr w:type="spell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 di argilla nerastra e di impasto locale, in frammenti (non conteneva alcun oggetto).</w:t>
            </w:r>
          </w:p>
          <w:p w14:paraId="058A232F" w14:textId="77777777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Presso il fianco dello scheletro a ponente:</w:t>
            </w:r>
          </w:p>
          <w:p w14:paraId="1F747328" w14:textId="77777777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2</w:t>
            </w:r>
            <w:proofErr w:type="gram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 grandi </w:t>
            </w:r>
            <w:proofErr w:type="spell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oinocoai</w:t>
            </w:r>
            <w:proofErr w:type="spell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 a bocca trilobata e a forma di fiore a </w:t>
            </w:r>
            <w:proofErr w:type="spell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vern</w:t>
            </w:r>
            <w:proofErr w:type="spell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. n. scadente; interi, alti 0,26.</w:t>
            </w:r>
          </w:p>
          <w:p w14:paraId="51727808" w14:textId="373A9A40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Un </w:t>
            </w:r>
            <w:proofErr w:type="spell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askos</w:t>
            </w:r>
            <w:proofErr w:type="spell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 con ansa </w:t>
            </w:r>
            <w:proofErr w:type="spell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orrizontale</w:t>
            </w:r>
            <w:proofErr w:type="spell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 e a bocca circolare e con beccuccio a punta, di terra giallastra senza vernice </w:t>
            </w:r>
            <w:proofErr w:type="gram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– :</w:t>
            </w:r>
            <w:proofErr w:type="gram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 è intero, alto 0,18.</w:t>
            </w:r>
          </w:p>
          <w:p w14:paraId="2F73B515" w14:textId="77777777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uno </w:t>
            </w:r>
            <w:proofErr w:type="spell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skyfos</w:t>
            </w:r>
            <w:proofErr w:type="spell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 in frammenti, con piede alto e vernice nera scadente. </w:t>
            </w:r>
          </w:p>
          <w:p w14:paraId="04F6A8DF" w14:textId="0586AEAF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due grandi piatti, grossolani, a ver. n. scadente, interi; diam. 0,21.</w:t>
            </w:r>
          </w:p>
          <w:p w14:paraId="05B91602" w14:textId="77777777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Una </w:t>
            </w:r>
            <w:proofErr w:type="spell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lekane</w:t>
            </w:r>
            <w:proofErr w:type="spell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 con coperchio frammentaria con disegni strapazzati nel coperchio di linee circolari di un a vernice bruna scadente – diam. della tazza 0,19</w:t>
            </w:r>
          </w:p>
          <w:p w14:paraId="288DF789" w14:textId="77777777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tazzina</w:t>
            </w: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 a </w:t>
            </w:r>
            <w:proofErr w:type="spell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verm</w:t>
            </w:r>
            <w:proofErr w:type="spell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. N. con due anse orizzontali leggermente frammentata nell’orlo: diam. 0,12</w:t>
            </w:r>
          </w:p>
          <w:p w14:paraId="695E0E12" w14:textId="77777777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una tazza a </w:t>
            </w:r>
            <w:proofErr w:type="spell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vern.n</w:t>
            </w:r>
            <w:proofErr w:type="spell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., apoda; diam. 0,14</w:t>
            </w:r>
          </w:p>
          <w:p w14:paraId="584EB76F" w14:textId="77777777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idem. </w:t>
            </w:r>
            <w:proofErr w:type="gram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“ “</w:t>
            </w:r>
            <w:proofErr w:type="gram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 </w:t>
            </w:r>
            <w:proofErr w:type="gram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“ diam</w:t>
            </w:r>
            <w:proofErr w:type="gram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. 0,11.</w:t>
            </w:r>
          </w:p>
          <w:p w14:paraId="5EDFF091" w14:textId="77777777" w:rsidR="0072559E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lastRenderedPageBreak/>
              <w:t xml:space="preserve">piattello con piede, a </w:t>
            </w:r>
            <w:proofErr w:type="spellStart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ver.n</w:t>
            </w:r>
            <w:proofErr w:type="spellEnd"/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 xml:space="preserve">.; diam. 0,10. </w:t>
            </w:r>
          </w:p>
          <w:p w14:paraId="1A6B7E7E" w14:textId="01563405" w:rsidR="001B5504" w:rsidRPr="00666206" w:rsidRDefault="0072559E" w:rsidP="007255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66206">
              <w:rPr>
                <w:rFonts w:ascii="Titillium Web" w:hAnsi="Titillium Web" w:cs="Times New Roman"/>
                <w:i/>
                <w:iCs/>
                <w:szCs w:val="24"/>
              </w:rPr>
              <w:t>Null’altro.</w:t>
            </w:r>
          </w:p>
        </w:tc>
      </w:tr>
      <w:tr w:rsidR="001B5504" w:rsidRPr="00666206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2E692F88" w14:textId="77777777" w:rsidR="0092550A" w:rsidRPr="00666206" w:rsidRDefault="0092550A" w:rsidP="00594554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666206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I due individui giacevano supini ed orientati in senso O-E. Dietro le teste dei defunti erano presenti un’anfora da trasporto ed un’olla (nn. 13-14), mentre il resto del corredo si disponeva lungo il lato </w:t>
            </w:r>
            <w:proofErr w:type="spellStart"/>
            <w:r w:rsidRPr="00666206">
              <w:rPr>
                <w:rFonts w:ascii="Titillium Web" w:hAnsi="Titillium Web" w:cs="Times New Roman"/>
                <w:color w:val="000000" w:themeColor="text1"/>
                <w:szCs w:val="24"/>
              </w:rPr>
              <w:t>ds</w:t>
            </w:r>
            <w:proofErr w:type="spellEnd"/>
            <w:r w:rsidRPr="00666206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. dell’inumato di </w:t>
            </w:r>
            <w:proofErr w:type="spellStart"/>
            <w:r w:rsidRPr="00666206">
              <w:rPr>
                <w:rFonts w:ascii="Titillium Web" w:hAnsi="Titillium Web" w:cs="Times New Roman"/>
                <w:color w:val="000000" w:themeColor="text1"/>
                <w:szCs w:val="24"/>
              </w:rPr>
              <w:t>sn</w:t>
            </w:r>
            <w:proofErr w:type="spellEnd"/>
            <w:r w:rsidRPr="00666206">
              <w:rPr>
                <w:rFonts w:ascii="Titillium Web" w:hAnsi="Titillium Web" w:cs="Times New Roman"/>
                <w:color w:val="000000" w:themeColor="text1"/>
                <w:szCs w:val="24"/>
              </w:rPr>
              <w:t>. (nn. 1-12). Dal disegno del GdS, è possibile tentare la ricostruzione della successione degli oggetti, sebbene non tutti siano stati rappresentati nello schizzo: a partire dal gomito, si osserva la coppia di vasi per versare (nn. 2-3), seguita dall’</w:t>
            </w:r>
            <w:r w:rsidRPr="00666206">
              <w:rPr>
                <w:rFonts w:ascii="Titillium Web" w:hAnsi="Titillium Web" w:cs="Times New Roman"/>
                <w:i/>
                <w:iCs/>
                <w:color w:val="000000" w:themeColor="text1"/>
                <w:szCs w:val="24"/>
              </w:rPr>
              <w:t xml:space="preserve">askòs </w:t>
            </w:r>
            <w:r w:rsidRPr="00666206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(n. 7), dalla </w:t>
            </w:r>
            <w:proofErr w:type="spellStart"/>
            <w:r w:rsidRPr="00666206">
              <w:rPr>
                <w:rFonts w:ascii="Titillium Web" w:hAnsi="Titillium Web" w:cs="Times New Roman"/>
                <w:i/>
                <w:iCs/>
                <w:color w:val="000000" w:themeColor="text1"/>
                <w:szCs w:val="24"/>
              </w:rPr>
              <w:t>lekanis</w:t>
            </w:r>
            <w:proofErr w:type="spellEnd"/>
            <w:r w:rsidRPr="00666206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 (n. 1) e da uno degli </w:t>
            </w:r>
            <w:r w:rsidRPr="00666206">
              <w:rPr>
                <w:rFonts w:ascii="Titillium Web" w:hAnsi="Titillium Web" w:cs="Times New Roman"/>
                <w:i/>
                <w:iCs/>
                <w:color w:val="000000" w:themeColor="text1"/>
                <w:szCs w:val="24"/>
              </w:rPr>
              <w:t xml:space="preserve">skyphos </w:t>
            </w:r>
            <w:r w:rsidRPr="00666206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(nn. 4-5); chiudono la sequenza alcune ciotole e piatti (nn. 8-12). Si suppone pertanto che il secondo </w:t>
            </w:r>
            <w:r w:rsidRPr="00666206">
              <w:rPr>
                <w:rFonts w:ascii="Titillium Web" w:hAnsi="Titillium Web" w:cs="Times New Roman"/>
                <w:i/>
                <w:iCs/>
                <w:color w:val="000000" w:themeColor="text1"/>
                <w:szCs w:val="24"/>
              </w:rPr>
              <w:t>skyphos</w:t>
            </w:r>
            <w:r w:rsidRPr="00666206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 a v.n. locale e la </w:t>
            </w:r>
            <w:r w:rsidRPr="00666206">
              <w:rPr>
                <w:rFonts w:ascii="Titillium Web" w:hAnsi="Titillium Web" w:cs="Times New Roman"/>
                <w:i/>
                <w:iCs/>
                <w:color w:val="000000" w:themeColor="text1"/>
                <w:szCs w:val="24"/>
              </w:rPr>
              <w:t>kylix</w:t>
            </w:r>
            <w:r w:rsidRPr="00666206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 a v.n. volterrana (n. 6) fossero posizionati fra i </w:t>
            </w:r>
            <w:r w:rsidRPr="00666206">
              <w:rPr>
                <w:rFonts w:ascii="Titillium Web" w:hAnsi="Titillium Web" w:cs="Times New Roman"/>
                <w:i/>
                <w:iCs/>
                <w:color w:val="000000" w:themeColor="text1"/>
                <w:szCs w:val="24"/>
              </w:rPr>
              <w:t>choes</w:t>
            </w:r>
            <w:r w:rsidRPr="00666206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 e i vasi da mensa. Fra questi si conta un piattello su alto piede a v.n. locale in più rispetto all’elenco del GdS, poiché i dati disponibili non consentono di stabilire quale dei due sia pertinente (nn. 12-13).</w:t>
            </w:r>
          </w:p>
          <w:p w14:paraId="30508930" w14:textId="03C163BB" w:rsidR="001B5504" w:rsidRPr="00666206" w:rsidRDefault="006967E9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Corredo </w:t>
            </w:r>
            <w:r w:rsidR="00823C2A" w:rsidRPr="00666206">
              <w:rPr>
                <w:rFonts w:ascii="Titillium Web" w:hAnsi="Titillium Web"/>
                <w:szCs w:val="24"/>
              </w:rPr>
              <w:t xml:space="preserve">T. </w:t>
            </w:r>
            <w:proofErr w:type="gramStart"/>
            <w:r w:rsidR="00823C2A" w:rsidRPr="00666206">
              <w:rPr>
                <w:rFonts w:ascii="Titillium Web" w:hAnsi="Titillium Web"/>
                <w:szCs w:val="24"/>
              </w:rPr>
              <w:t>149a</w:t>
            </w:r>
            <w:proofErr w:type="gramEnd"/>
            <w:r w:rsidR="00823C2A" w:rsidRPr="00666206">
              <w:rPr>
                <w:rFonts w:ascii="Titillium Web" w:hAnsi="Titillium Web"/>
                <w:szCs w:val="24"/>
              </w:rPr>
              <w:t>:</w:t>
            </w:r>
          </w:p>
          <w:p w14:paraId="5CE4C41A" w14:textId="7BFC4BB3" w:rsidR="00823C2A" w:rsidRPr="00666206" w:rsidRDefault="00823C2A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1. </w:t>
            </w:r>
            <w:r w:rsidRPr="00666206">
              <w:rPr>
                <w:rFonts w:ascii="Titillium Web" w:hAnsi="Titillium Web"/>
                <w:szCs w:val="24"/>
              </w:rPr>
              <w:t>Lekanis alto-adriatica (IG 20699; ceramica alto-adriatica)</w:t>
            </w:r>
          </w:p>
          <w:p w14:paraId="4F43FF7F" w14:textId="1BC72FF9" w:rsidR="00823C2A" w:rsidRPr="00666206" w:rsidRDefault="00823C2A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2. </w:t>
            </w:r>
            <w:r w:rsidRPr="00666206">
              <w:rPr>
                <w:rFonts w:ascii="Titillium Web" w:hAnsi="Titillium Web"/>
                <w:szCs w:val="24"/>
              </w:rPr>
              <w:t>Chous di produzione locale (IG 1194; vernice nera)</w:t>
            </w:r>
          </w:p>
          <w:p w14:paraId="7EAD941C" w14:textId="544CFA72" w:rsidR="00823C2A" w:rsidRPr="00666206" w:rsidRDefault="00823C2A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3. </w:t>
            </w:r>
            <w:r w:rsidRPr="00666206">
              <w:rPr>
                <w:rFonts w:ascii="Titillium Web" w:hAnsi="Titillium Web"/>
                <w:szCs w:val="24"/>
              </w:rPr>
              <w:t>Chous di produzione locale (IG 1193; vernice nera)</w:t>
            </w:r>
          </w:p>
          <w:p w14:paraId="6417E25E" w14:textId="16E000CB" w:rsidR="00823C2A" w:rsidRPr="00666206" w:rsidRDefault="00A15B78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4. </w:t>
            </w:r>
            <w:r w:rsidR="00823C2A" w:rsidRPr="00666206">
              <w:rPr>
                <w:rFonts w:ascii="Titillium Web" w:hAnsi="Titillium Web"/>
                <w:szCs w:val="24"/>
              </w:rPr>
              <w:t>Skyphos di produzione locale (IG 20694; vernice nera)</w:t>
            </w:r>
          </w:p>
          <w:p w14:paraId="03541515" w14:textId="1CB6B4C5" w:rsidR="00823C2A" w:rsidRPr="00666206" w:rsidRDefault="00A15B78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5. </w:t>
            </w:r>
            <w:r w:rsidR="00823C2A" w:rsidRPr="00666206">
              <w:rPr>
                <w:rFonts w:ascii="Titillium Web" w:hAnsi="Titillium Web"/>
                <w:szCs w:val="24"/>
              </w:rPr>
              <w:t>Skyphos di produzione locale (IG 20695; vernice nera)</w:t>
            </w:r>
          </w:p>
          <w:p w14:paraId="4BB96D71" w14:textId="48E1D037" w:rsidR="00823C2A" w:rsidRPr="00666206" w:rsidRDefault="00A15B78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6. </w:t>
            </w:r>
            <w:r w:rsidR="00823C2A" w:rsidRPr="00666206">
              <w:rPr>
                <w:rFonts w:ascii="Titillium Web" w:hAnsi="Titillium Web"/>
                <w:szCs w:val="24"/>
              </w:rPr>
              <w:t xml:space="preserve">Kylix </w:t>
            </w:r>
            <w:r w:rsidRPr="00666206">
              <w:rPr>
                <w:rFonts w:ascii="Titillium Web" w:hAnsi="Titillium Web"/>
                <w:szCs w:val="24"/>
              </w:rPr>
              <w:t xml:space="preserve">di produzione </w:t>
            </w:r>
            <w:r w:rsidR="00823C2A" w:rsidRPr="00666206">
              <w:rPr>
                <w:rFonts w:ascii="Titillium Web" w:hAnsi="Titillium Web"/>
                <w:szCs w:val="24"/>
              </w:rPr>
              <w:t>volterrana (IG 20696; vernice nera)</w:t>
            </w:r>
          </w:p>
          <w:p w14:paraId="23A86557" w14:textId="7D80FA1F" w:rsidR="00823C2A" w:rsidRPr="00666206" w:rsidRDefault="00A15B78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7. </w:t>
            </w:r>
            <w:r w:rsidR="00823C2A" w:rsidRPr="00666206">
              <w:rPr>
                <w:rFonts w:ascii="Titillium Web" w:hAnsi="Titillium Web"/>
                <w:szCs w:val="24"/>
              </w:rPr>
              <w:t>Askòs otriforme di produzione locale (IG 1200; ceramica depurata)</w:t>
            </w:r>
          </w:p>
          <w:p w14:paraId="0E448A8F" w14:textId="6465D18D" w:rsidR="00823C2A" w:rsidRPr="00666206" w:rsidRDefault="00A82A51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8. </w:t>
            </w:r>
            <w:r w:rsidR="00823C2A" w:rsidRPr="00666206">
              <w:rPr>
                <w:rFonts w:ascii="Titillium Web" w:hAnsi="Titillium Web"/>
                <w:szCs w:val="24"/>
              </w:rPr>
              <w:t>Piatto da pesce di produzione locale (IG 1195; vernice nera)</w:t>
            </w:r>
          </w:p>
          <w:p w14:paraId="76843C27" w14:textId="2CDF4250" w:rsidR="00823C2A" w:rsidRPr="00666206" w:rsidRDefault="00A82A51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9. </w:t>
            </w:r>
            <w:r w:rsidR="00823C2A" w:rsidRPr="00666206">
              <w:rPr>
                <w:rFonts w:ascii="Titillium Web" w:hAnsi="Titillium Web"/>
                <w:szCs w:val="24"/>
              </w:rPr>
              <w:t>Piatto da pesce di produzione locale (IG 1196; vernice nera)</w:t>
            </w:r>
          </w:p>
          <w:p w14:paraId="4A04AAD0" w14:textId="6FF100D9" w:rsidR="00823C2A" w:rsidRPr="00666206" w:rsidRDefault="00A82A51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10. </w:t>
            </w:r>
            <w:r w:rsidR="00823C2A" w:rsidRPr="00666206">
              <w:rPr>
                <w:rFonts w:ascii="Titillium Web" w:hAnsi="Titillium Web"/>
                <w:szCs w:val="24"/>
              </w:rPr>
              <w:t>Ciotola di produzione locale (IG 1197; vernice nera)</w:t>
            </w:r>
          </w:p>
          <w:p w14:paraId="3019D723" w14:textId="50361FBC" w:rsidR="00823C2A" w:rsidRPr="00666206" w:rsidRDefault="00A82A51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11. </w:t>
            </w:r>
            <w:r w:rsidR="00823C2A" w:rsidRPr="00666206">
              <w:rPr>
                <w:rFonts w:ascii="Titillium Web" w:hAnsi="Titillium Web"/>
                <w:szCs w:val="24"/>
              </w:rPr>
              <w:t>Ciotola di produzione locale (IG 20697; vernice nera)</w:t>
            </w:r>
          </w:p>
          <w:p w14:paraId="6A5F30EE" w14:textId="076A3D45" w:rsidR="00823C2A" w:rsidRPr="00666206" w:rsidRDefault="00A82A51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12. </w:t>
            </w:r>
            <w:r w:rsidR="00823C2A" w:rsidRPr="00666206">
              <w:rPr>
                <w:rFonts w:ascii="Titillium Web" w:hAnsi="Titillium Web"/>
                <w:szCs w:val="24"/>
              </w:rPr>
              <w:t>Piattello di produzione locale (IG 1199; vernice nera)</w:t>
            </w:r>
          </w:p>
          <w:p w14:paraId="60E504C8" w14:textId="435731AA" w:rsidR="00823C2A" w:rsidRPr="00666206" w:rsidRDefault="00A82A51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13. </w:t>
            </w:r>
            <w:r w:rsidR="00823C2A" w:rsidRPr="00666206">
              <w:rPr>
                <w:rFonts w:ascii="Titillium Web" w:hAnsi="Titillium Web"/>
                <w:szCs w:val="24"/>
              </w:rPr>
              <w:t>Piattello di produzione locale (IG 20698; vernice nera)</w:t>
            </w:r>
          </w:p>
          <w:p w14:paraId="3950A36D" w14:textId="77777777" w:rsidR="00823C2A" w:rsidRPr="00666206" w:rsidRDefault="00A82A51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14. </w:t>
            </w:r>
            <w:r w:rsidR="00823C2A" w:rsidRPr="00666206">
              <w:rPr>
                <w:rFonts w:ascii="Titillium Web" w:hAnsi="Titillium Web"/>
                <w:szCs w:val="24"/>
              </w:rPr>
              <w:t>Olla di produzione locale (IG 45765; ceramica grigia)</w:t>
            </w:r>
          </w:p>
          <w:p w14:paraId="6B61F602" w14:textId="77777777" w:rsidR="00A82A51" w:rsidRPr="00666206" w:rsidRDefault="00A82A51" w:rsidP="00594554">
            <w:pPr>
              <w:jc w:val="center"/>
              <w:rPr>
                <w:rFonts w:ascii="Titillium Web" w:hAnsi="Titillium Web"/>
                <w:szCs w:val="24"/>
              </w:rPr>
            </w:pPr>
          </w:p>
          <w:p w14:paraId="32312F12" w14:textId="77777777" w:rsidR="00A82A51" w:rsidRPr="00666206" w:rsidRDefault="00A82A51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Corredo T. 149b:</w:t>
            </w:r>
          </w:p>
          <w:p w14:paraId="5EE32F9C" w14:textId="6D5F717F" w:rsidR="00A82A51" w:rsidRPr="00666206" w:rsidRDefault="00594554" w:rsidP="00594554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15. Anfora da trasporto greco-italica (IG 23321; ceramica grezza)</w:t>
            </w:r>
          </w:p>
        </w:tc>
      </w:tr>
      <w:tr w:rsidR="001B5504" w:rsidRPr="00666206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6A467A89" w:rsidR="001B5504" w:rsidRPr="00666206" w:rsidRDefault="0066620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666206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4299771B" w14:textId="77777777" w:rsidR="00F1252D" w:rsidRPr="00666206" w:rsidRDefault="00F1252D" w:rsidP="00F1252D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La vicinanza degli scheletri, il loro stesso orientamento e la prossimità dell’anfora all’olla, quasi a costituire un unico nucleo di significato, sembrano indicare la deposizione contestuale dei due inumati. Questa potrebbe quindi essere avvenuta nell’arco della prima metà del III sec. a.C.</w:t>
            </w:r>
          </w:p>
          <w:p w14:paraId="66E8A271" w14:textId="039E0F52" w:rsidR="001B5504" w:rsidRPr="00666206" w:rsidRDefault="00F1252D" w:rsidP="00F1252D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Al corredo sono stati attribuiti successivamente allo scavo alcuni vasi di produzione locale, a v.n. ed altri in ceramica grezza, grigia e depurata. Tali vasi non risultano presenti nell’elenco del GdS.</w:t>
            </w:r>
          </w:p>
        </w:tc>
      </w:tr>
      <w:tr w:rsidR="001B5504" w:rsidRPr="00666206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66206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66206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66206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5C8B9974" w14:textId="77777777" w:rsidR="0059455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 xml:space="preserve">T. </w:t>
            </w:r>
            <w:proofErr w:type="gramStart"/>
            <w:r w:rsidRPr="00666206">
              <w:rPr>
                <w:rFonts w:ascii="Titillium Web" w:hAnsi="Titillium Web"/>
                <w:szCs w:val="24"/>
              </w:rPr>
              <w:t>149a</w:t>
            </w:r>
            <w:proofErr w:type="gramEnd"/>
            <w:r w:rsidRPr="00666206">
              <w:rPr>
                <w:rFonts w:ascii="Titillium Web" w:hAnsi="Titillium Web"/>
                <w:szCs w:val="24"/>
              </w:rPr>
              <w:t xml:space="preserve">: prima metà del III sec. a.C. </w:t>
            </w:r>
          </w:p>
          <w:p w14:paraId="440AB2F6" w14:textId="01921711" w:rsidR="001B550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zCs w:val="24"/>
              </w:rPr>
              <w:t>T. 149b: fra il IV ed il III sec. a.C.</w:t>
            </w:r>
          </w:p>
        </w:tc>
      </w:tr>
      <w:tr w:rsidR="001B5504" w:rsidRPr="00666206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Negrioli</w:t>
            </w:r>
            <w:r w:rsidRPr="00666206">
              <w:rPr>
                <w:rFonts w:ascii="Titillium Web" w:hAnsi="Titillium Web"/>
                <w:szCs w:val="24"/>
              </w:rPr>
              <w:t xml:space="preserve"> 1924, p. 296, 3316-317; </w:t>
            </w:r>
            <w:r w:rsidRPr="00666206">
              <w:rPr>
                <w:rFonts w:ascii="Titillium Web" w:hAnsi="Titillium Web"/>
                <w:smallCaps/>
                <w:szCs w:val="24"/>
              </w:rPr>
              <w:t>Baldoni</w:t>
            </w:r>
            <w:r w:rsidRPr="00666206">
              <w:rPr>
                <w:rFonts w:ascii="Titillium Web" w:hAnsi="Titillium Web"/>
                <w:szCs w:val="24"/>
              </w:rPr>
              <w:t xml:space="preserve"> 1981, pp. 169-171, n. 141; </w:t>
            </w:r>
            <w:r w:rsidRPr="00666206">
              <w:rPr>
                <w:rFonts w:ascii="Titillium Web" w:hAnsi="Titillium Web"/>
                <w:smallCaps/>
                <w:szCs w:val="24"/>
              </w:rPr>
              <w:t>Berti</w:t>
            </w:r>
            <w:r w:rsidRPr="00666206">
              <w:rPr>
                <w:rFonts w:ascii="Titillium Web" w:hAnsi="Titillium Web"/>
                <w:szCs w:val="24"/>
              </w:rPr>
              <w:t xml:space="preserve"> 1983, p. 46.</w:t>
            </w:r>
          </w:p>
        </w:tc>
      </w:tr>
      <w:tr w:rsidR="001B5504" w:rsidRPr="00666206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6662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206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6662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37E41"/>
    <w:rsid w:val="0029024B"/>
    <w:rsid w:val="002977D7"/>
    <w:rsid w:val="002F1500"/>
    <w:rsid w:val="00472AF4"/>
    <w:rsid w:val="00594554"/>
    <w:rsid w:val="005A3ECE"/>
    <w:rsid w:val="005B5AFF"/>
    <w:rsid w:val="00666206"/>
    <w:rsid w:val="0068458A"/>
    <w:rsid w:val="006967E9"/>
    <w:rsid w:val="00710B38"/>
    <w:rsid w:val="007145BC"/>
    <w:rsid w:val="0072559E"/>
    <w:rsid w:val="007D54CD"/>
    <w:rsid w:val="00823C2A"/>
    <w:rsid w:val="00824D3F"/>
    <w:rsid w:val="0092550A"/>
    <w:rsid w:val="00942E70"/>
    <w:rsid w:val="00943EAC"/>
    <w:rsid w:val="00950348"/>
    <w:rsid w:val="00975CA9"/>
    <w:rsid w:val="00997946"/>
    <w:rsid w:val="009E4922"/>
    <w:rsid w:val="00A15B78"/>
    <w:rsid w:val="00A52A70"/>
    <w:rsid w:val="00A82A51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F1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21</cp:revision>
  <dcterms:created xsi:type="dcterms:W3CDTF">2026-04-28T14:33:00Z</dcterms:created>
  <dcterms:modified xsi:type="dcterms:W3CDTF">2026-05-18T07:42:00Z</dcterms:modified>
</cp:coreProperties>
</file>