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159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AB0574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AB0574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AB0574">
              <w:rPr>
                <w:rFonts w:ascii="Titillium Web" w:hAnsi="Titillium Web"/>
                <w:smallCaps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AB0574" w:rsidRDefault="0086297F" w:rsidP="002665C6">
            <w:pPr>
              <w:jc w:val="center"/>
              <w:rPr>
                <w:rFonts w:ascii="Titillium Web" w:hAnsi="Titillium Web"/>
              </w:rPr>
            </w:pPr>
            <w:r w:rsidRPr="00AB0574">
              <w:rPr>
                <w:rFonts w:ascii="Titillium Web" w:hAnsi="Titillium Web"/>
              </w:rPr>
              <w:t>1923</w:t>
            </w:r>
          </w:p>
        </w:tc>
      </w:tr>
      <w:tr w:rsidR="0086297F" w:rsidRPr="00AB0574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AB0574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AB0574">
              <w:rPr>
                <w:rFonts w:ascii="Titillium Web" w:hAnsi="Titillium Web"/>
                <w:smallCaps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AB0574" w:rsidRDefault="0086297F" w:rsidP="002665C6">
            <w:pPr>
              <w:jc w:val="center"/>
              <w:rPr>
                <w:rFonts w:ascii="Titillium Web" w:hAnsi="Titillium Web"/>
              </w:rPr>
            </w:pPr>
            <w:r w:rsidRPr="00AB0574">
              <w:rPr>
                <w:rFonts w:ascii="Titillium Web" w:hAnsi="Titillium Web"/>
              </w:rPr>
              <w:t>Sconvolta</w:t>
            </w:r>
          </w:p>
        </w:tc>
      </w:tr>
      <w:tr w:rsidR="0086297F" w:rsidRPr="00AB0574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AB0574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AB0574">
              <w:rPr>
                <w:rFonts w:ascii="Titillium Web" w:hAnsi="Titillium Web"/>
                <w:smallCaps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AB0574" w:rsidRDefault="0086297F" w:rsidP="002665C6">
            <w:pPr>
              <w:jc w:val="center"/>
              <w:rPr>
                <w:rFonts w:ascii="Titillium Web" w:hAnsi="Titillium Web"/>
              </w:rPr>
            </w:pPr>
            <w:r w:rsidRPr="00AB0574">
              <w:rPr>
                <w:rFonts w:ascii="Titillium Web" w:hAnsi="Titillium Web"/>
              </w:rPr>
              <w:t>Cremazione</w:t>
            </w:r>
          </w:p>
        </w:tc>
      </w:tr>
      <w:tr w:rsidR="0086297F" w:rsidRPr="00AB0574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AB0574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AB0574">
              <w:rPr>
                <w:rFonts w:ascii="Titillium Web" w:hAnsi="Titillium Web"/>
                <w:smallCaps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AB0574" w:rsidRDefault="0086297F" w:rsidP="002665C6">
            <w:pPr>
              <w:jc w:val="center"/>
              <w:rPr>
                <w:rFonts w:ascii="Titillium Web" w:hAnsi="Titillium Web"/>
              </w:rPr>
            </w:pPr>
            <w:r w:rsidRPr="00AB0574">
              <w:rPr>
                <w:rFonts w:ascii="Titillium Web" w:hAnsi="Titillium Web"/>
              </w:rPr>
              <w:t>pozzetto semplice</w:t>
            </w:r>
          </w:p>
        </w:tc>
      </w:tr>
      <w:tr w:rsidR="0086297F" w:rsidRPr="00AB0574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AB0574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AB0574">
              <w:rPr>
                <w:rFonts w:ascii="Titillium Web" w:hAnsi="Titillium Web"/>
                <w:smallCaps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AB0574" w:rsidRDefault="0086297F" w:rsidP="002665C6">
            <w:pPr>
              <w:jc w:val="center"/>
              <w:rPr>
                <w:rFonts w:ascii="Titillium Web" w:hAnsi="Titillium Web"/>
              </w:rPr>
            </w:pPr>
            <w:r w:rsidRPr="00AB0574">
              <w:rPr>
                <w:rFonts w:ascii="Titillium Web" w:hAnsi="Titillium Web"/>
              </w:rPr>
              <w:t>0,45 m</w:t>
            </w:r>
          </w:p>
        </w:tc>
      </w:tr>
      <w:tr w:rsidR="0086297F" w:rsidRPr="00AB0574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AB0574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AB0574">
              <w:rPr>
                <w:rFonts w:ascii="Titillium Web" w:hAnsi="Titillium Web"/>
                <w:smallCaps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AB0574" w:rsidRDefault="0086297F" w:rsidP="002665C6">
            <w:pPr>
              <w:jc w:val="center"/>
              <w:rPr>
                <w:rFonts w:ascii="Titillium Web" w:hAnsi="Titillium Web"/>
              </w:rPr>
            </w:pPr>
            <w:r w:rsidRPr="00AB0574">
              <w:rPr>
                <w:rFonts w:ascii="Titillium Web" w:hAnsi="Titillium Web"/>
              </w:rPr>
              <w:t>Dimensioni non registrate</w:t>
            </w:r>
          </w:p>
        </w:tc>
      </w:tr>
      <w:tr w:rsidR="0086297F" w:rsidRPr="00AB0574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AB0574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AB0574">
              <w:rPr>
                <w:rFonts w:ascii="Titillium Web" w:hAnsi="Titillium Web"/>
                <w:smallCaps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AB0574" w:rsidRDefault="0086297F" w:rsidP="002665C6">
            <w:pPr>
              <w:jc w:val="center"/>
              <w:rPr>
                <w:rFonts w:ascii="Titillium Web" w:hAnsi="Titillium Web"/>
              </w:rPr>
            </w:pPr>
            <w:r w:rsidRPr="00AB0574">
              <w:rPr>
                <w:rFonts w:ascii="Titillium Web" w:hAnsi="Titillium Web"/>
              </w:rPr>
              <w:t>/</w:t>
            </w:r>
          </w:p>
        </w:tc>
      </w:tr>
      <w:tr w:rsidR="0086297F" w:rsidRPr="00AB0574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AB0574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AB0574">
              <w:rPr>
                <w:rFonts w:ascii="Titillium Web" w:hAnsi="Titillium Web"/>
                <w:smallCaps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AB0574" w:rsidRDefault="0086297F" w:rsidP="002665C6">
            <w:pPr>
              <w:jc w:val="center"/>
              <w:rPr>
                <w:rFonts w:ascii="Titillium Web" w:hAnsi="Titillium Web"/>
              </w:rPr>
            </w:pPr>
            <w:r w:rsidRPr="00AB0574">
              <w:rPr>
                <w:rFonts w:ascii="Titillium Web" w:hAnsi="Titillium Web"/>
              </w:rPr>
              <w:t>/</w:t>
            </w:r>
          </w:p>
        </w:tc>
      </w:tr>
      <w:tr w:rsidR="0086297F" w:rsidRPr="00AB0574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AB0574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AB0574">
              <w:rPr>
                <w:rFonts w:ascii="Titillium Web" w:hAnsi="Titillium Web"/>
                <w:smallCaps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EE3A354" w14:textId="77777777" w:rsidR="001A0C6A" w:rsidRPr="00AB0574" w:rsidRDefault="003B29E8">
            <w:pPr>
              <w:rPr>
                <w:rFonts w:ascii="Titillium Web" w:hAnsi="Titillium Web"/>
                <w:i/>
                <w:iCs/>
              </w:rPr>
            </w:pPr>
            <w:r w:rsidRPr="00AB0574">
              <w:rPr>
                <w:rFonts w:ascii="Titillium Web" w:hAnsi="Titillium Web"/>
                <w:i/>
                <w:iCs/>
              </w:rPr>
              <w:t>159 Tomba cremata (saccheggiata)</w:t>
            </w:r>
          </w:p>
          <w:p w14:paraId="5DFDC10E" w14:textId="77777777" w:rsidR="001A0C6A" w:rsidRPr="00AB0574" w:rsidRDefault="003B29E8">
            <w:pPr>
              <w:rPr>
                <w:rFonts w:ascii="Titillium Web" w:hAnsi="Titillium Web"/>
                <w:i/>
                <w:iCs/>
              </w:rPr>
            </w:pPr>
            <w:r w:rsidRPr="00AB0574">
              <w:rPr>
                <w:rFonts w:ascii="Titillium Web" w:hAnsi="Titillium Web"/>
                <w:i/>
                <w:iCs/>
              </w:rPr>
              <w:t>A m. 18 dal canale e a m. 12,60 dal bordo S dello scavo a m. 0,45 di profondità si rinvengono sparsi all’ingiro</w:t>
            </w:r>
          </w:p>
          <w:p w14:paraId="6AE4135F" w14:textId="77777777" w:rsidR="001A0C6A" w:rsidRPr="00AB0574" w:rsidRDefault="003B29E8">
            <w:pPr>
              <w:rPr>
                <w:rFonts w:ascii="Titillium Web" w:hAnsi="Titillium Web"/>
                <w:i/>
                <w:iCs/>
              </w:rPr>
            </w:pPr>
            <w:r w:rsidRPr="00AB0574">
              <w:rPr>
                <w:rFonts w:ascii="Titillium Web" w:hAnsi="Titillium Web"/>
                <w:i/>
                <w:iCs/>
              </w:rPr>
              <w:t>i frammenti di uno di quei dolietti comuni di argilla rossa e le ossa combuste sono sparse ovunque.</w:t>
            </w:r>
          </w:p>
          <w:p w14:paraId="4AC802D2" w14:textId="77777777" w:rsidR="001A0C6A" w:rsidRPr="00AB0574" w:rsidRDefault="003B29E8">
            <w:pPr>
              <w:rPr>
                <w:rFonts w:ascii="Titillium Web" w:hAnsi="Titillium Web"/>
                <w:i/>
                <w:iCs/>
              </w:rPr>
            </w:pPr>
            <w:r w:rsidRPr="00AB0574">
              <w:rPr>
                <w:rFonts w:ascii="Titillium Web" w:hAnsi="Titillium Web"/>
                <w:i/>
                <w:iCs/>
              </w:rPr>
              <w:t>Si raccoglie:</w:t>
            </w:r>
          </w:p>
          <w:p w14:paraId="76210DEC" w14:textId="77777777" w:rsidR="001A0C6A" w:rsidRPr="00AB0574" w:rsidRDefault="003B29E8">
            <w:pPr>
              <w:rPr>
                <w:rFonts w:ascii="Titillium Web" w:hAnsi="Titillium Web"/>
                <w:i/>
                <w:iCs/>
              </w:rPr>
            </w:pPr>
            <w:r w:rsidRPr="00AB0574">
              <w:rPr>
                <w:rFonts w:ascii="Titillium Web" w:hAnsi="Titillium Web"/>
                <w:i/>
                <w:iCs/>
              </w:rPr>
              <w:t>una mezza di quelle figurine di argilla color cinerognolo cotta e</w:t>
            </w:r>
          </w:p>
          <w:p w14:paraId="6D201C8E" w14:textId="77777777" w:rsidR="001A0C6A" w:rsidRPr="00AB0574" w:rsidRDefault="003B29E8">
            <w:pPr>
              <w:rPr>
                <w:rFonts w:ascii="Titillium Web" w:hAnsi="Titillium Web"/>
                <w:i/>
                <w:iCs/>
              </w:rPr>
            </w:pPr>
            <w:proofErr w:type="gramStart"/>
            <w:r w:rsidRPr="00AB0574">
              <w:rPr>
                <w:rFonts w:ascii="Titillium Web" w:hAnsi="Titillium Web"/>
                <w:i/>
                <w:iCs/>
              </w:rPr>
              <w:t>2</w:t>
            </w:r>
            <w:proofErr w:type="gramEnd"/>
            <w:r w:rsidRPr="00AB0574">
              <w:rPr>
                <w:rFonts w:ascii="Titillium Web" w:hAnsi="Titillium Web"/>
                <w:i/>
                <w:iCs/>
              </w:rPr>
              <w:t xml:space="preserve"> altre intere, una maschile per metà ignuda</w:t>
            </w:r>
          </w:p>
          <w:p w14:paraId="03F45D50" w14:textId="77777777" w:rsidR="001A0C6A" w:rsidRPr="00AB0574" w:rsidRDefault="003B29E8">
            <w:pPr>
              <w:rPr>
                <w:rFonts w:ascii="Titillium Web" w:hAnsi="Titillium Web"/>
                <w:i/>
                <w:iCs/>
              </w:rPr>
            </w:pPr>
            <w:r w:rsidRPr="00AB0574">
              <w:rPr>
                <w:rFonts w:ascii="Titillium Web" w:hAnsi="Titillium Web"/>
                <w:i/>
                <w:iCs/>
              </w:rPr>
              <w:t>alta m. 0,175, l’altra fem.le avvolta in un manto (0,16) e diverse conchiglie comuni</w:t>
            </w:r>
          </w:p>
        </w:tc>
      </w:tr>
      <w:tr w:rsidR="0086297F" w:rsidRPr="00AB0574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AB0574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AB0574">
              <w:rPr>
                <w:rFonts w:ascii="Titillium Web" w:hAnsi="Titillium Web"/>
                <w:smallCaps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AB0574" w:rsidRDefault="0086297F" w:rsidP="002665C6">
            <w:pPr>
              <w:jc w:val="center"/>
              <w:rPr>
                <w:rFonts w:ascii="Titillium Web" w:hAnsi="Titillium Web"/>
              </w:rPr>
            </w:pPr>
            <w:r w:rsidRPr="00AB0574">
              <w:rPr>
                <w:rFonts w:ascii="Titillium Web" w:hAnsi="Titillium Web"/>
              </w:rPr>
              <w:t>In frammenti misti alle ossa del defunto</w:t>
            </w:r>
          </w:p>
        </w:tc>
      </w:tr>
      <w:tr w:rsidR="0086297F" w:rsidRPr="00AB0574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AB0574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AB0574">
              <w:rPr>
                <w:rFonts w:ascii="Titillium Web" w:hAnsi="Titillium Web"/>
                <w:smallCaps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AB0574" w:rsidRDefault="0086297F" w:rsidP="002665C6">
            <w:pPr>
              <w:jc w:val="center"/>
              <w:rPr>
                <w:rFonts w:ascii="Titillium Web" w:hAnsi="Titillium Web"/>
              </w:rPr>
            </w:pPr>
            <w:r w:rsidRPr="00AB0574">
              <w:rPr>
                <w:rFonts w:ascii="Titillium Web" w:hAnsi="Titillium Web"/>
              </w:rPr>
              <w:t>Femminile ?</w:t>
            </w:r>
          </w:p>
        </w:tc>
      </w:tr>
      <w:tr w:rsidR="0086297F" w:rsidRPr="00AB0574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AB0574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AB0574">
              <w:rPr>
                <w:rFonts w:ascii="Titillium Web" w:hAnsi="Titillium Web"/>
                <w:smallCaps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AB0574" w:rsidRDefault="0086297F" w:rsidP="002665C6">
            <w:pPr>
              <w:jc w:val="center"/>
              <w:rPr>
                <w:rFonts w:ascii="Titillium Web" w:hAnsi="Titillium Web"/>
              </w:rPr>
            </w:pPr>
            <w:r w:rsidRPr="00AB0574">
              <w:rPr>
                <w:rFonts w:ascii="Titillium Web" w:hAnsi="Titillium Web"/>
              </w:rPr>
              <w:t>Non determinabile</w:t>
            </w:r>
          </w:p>
        </w:tc>
      </w:tr>
      <w:tr w:rsidR="0086297F" w:rsidRPr="00AB0574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AB0574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AB0574">
              <w:rPr>
                <w:rFonts w:ascii="Titillium Web" w:hAnsi="Titillium Web"/>
                <w:smallCaps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AB0574" w:rsidRDefault="0086297F" w:rsidP="002665C6">
            <w:pPr>
              <w:jc w:val="center"/>
              <w:rPr>
                <w:rFonts w:ascii="Titillium Web" w:hAnsi="Titillium Web"/>
              </w:rPr>
            </w:pPr>
            <w:r w:rsidRPr="00AB0574">
              <w:rPr>
                <w:rFonts w:ascii="Titillium Web" w:hAnsi="Titillium Web"/>
              </w:rPr>
              <w:t>Non determinabile</w:t>
            </w:r>
          </w:p>
        </w:tc>
      </w:tr>
      <w:tr w:rsidR="0086297F" w:rsidRPr="00AB0574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AB0574" w:rsidRDefault="0086297F" w:rsidP="002665C6">
            <w:pPr>
              <w:jc w:val="center"/>
              <w:rPr>
                <w:rFonts w:ascii="Titillium Web" w:hAnsi="Titillium Web"/>
                <w:smallCaps/>
              </w:rPr>
            </w:pPr>
            <w:r w:rsidRPr="00AB0574">
              <w:rPr>
                <w:rFonts w:ascii="Titillium Web" w:hAnsi="Titillium Web"/>
                <w:smallCaps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F356F45" w14:textId="30AE9967" w:rsidR="0086297F" w:rsidRPr="00AB0574" w:rsidRDefault="00AB0574" w:rsidP="002665C6">
            <w:pPr>
              <w:jc w:val="center"/>
              <w:rPr>
                <w:rFonts w:ascii="Titillium Web" w:hAnsi="Titillium Web"/>
              </w:rPr>
            </w:pPr>
            <w:r w:rsidRPr="00AB0574">
              <w:rPr>
                <w:rFonts w:ascii="Titillium Web" w:hAnsi="Titillium Web"/>
                <w:smallCaps/>
              </w:rPr>
              <w:t>Negrioli</w:t>
            </w:r>
            <w:r w:rsidRPr="00AB0574">
              <w:rPr>
                <w:rFonts w:ascii="Titillium Web" w:hAnsi="Titillium Web"/>
              </w:rPr>
              <w:t xml:space="preserve"> 1924, p. 297; </w:t>
            </w:r>
            <w:r w:rsidRPr="00AB0574">
              <w:rPr>
                <w:rFonts w:ascii="Titillium Web" w:hAnsi="Titillium Web"/>
                <w:smallCaps/>
              </w:rPr>
              <w:t>Serra</w:t>
            </w:r>
            <w:r w:rsidRPr="00AB0574">
              <w:rPr>
                <w:rFonts w:ascii="Titillium Web" w:hAnsi="Titillium Web"/>
              </w:rPr>
              <w:t xml:space="preserve"> 2022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A0C6A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27D48"/>
    <w:rsid w:val="00AB0574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2026-05-17T20:25:00Z</dcterms:modified>
</cp:coreProperties>
</file>