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16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CF0B1C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CF0B1C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F0B1C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CF0B1C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CF0B1C">
              <w:rPr>
                <w:rFonts w:ascii="Titillium Web" w:hAnsi="Titillium Web"/>
                <w:szCs w:val="24"/>
              </w:rPr>
              <w:t>1922</w:t>
            </w:r>
          </w:p>
        </w:tc>
      </w:tr>
      <w:tr w:rsidR="001B5504" w:rsidRPr="00CF0B1C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CF0B1C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F0B1C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CF0B1C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CF0B1C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1B5504" w:rsidRPr="00CF0B1C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CF0B1C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F0B1C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B6FE1CF" w:rsidR="001B5504" w:rsidRPr="00CF0B1C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CF0B1C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1B5504" w:rsidRPr="00CF0B1C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CF0B1C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F0B1C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CF0B1C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CF0B1C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1B5504" w:rsidRPr="00CF0B1C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CF0B1C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F0B1C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53FE193" w:rsidR="001B5504" w:rsidRPr="00CF0B1C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CF0B1C">
              <w:rPr>
                <w:rFonts w:ascii="Titillium Web" w:hAnsi="Titillium Web"/>
                <w:szCs w:val="24"/>
              </w:rPr>
              <w:t>0,50 m</w:t>
            </w:r>
          </w:p>
        </w:tc>
      </w:tr>
      <w:tr w:rsidR="001B5504" w:rsidRPr="00CF0B1C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CF0B1C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F0B1C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CF0B1C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CF0B1C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CF0B1C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CF0B1C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F0B1C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1EF5F976" w:rsidR="001B5504" w:rsidRPr="00CF0B1C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CF0B1C">
              <w:rPr>
                <w:rFonts w:ascii="Titillium Web" w:hAnsi="Titillium Web"/>
                <w:szCs w:val="24"/>
              </w:rPr>
              <w:t>E-W</w:t>
            </w:r>
          </w:p>
        </w:tc>
      </w:tr>
      <w:tr w:rsidR="001B5504" w:rsidRPr="00CF0B1C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CF0B1C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F0B1C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5FC0DAC1" w:rsidR="001B5504" w:rsidRPr="00CF0B1C" w:rsidRDefault="00CF0B1C" w:rsidP="00BF212E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CF0B1C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CF0B1C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F0B1C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1A6B7E7E" w14:textId="7E9C1867" w:rsidR="001B5504" w:rsidRPr="00CF0B1C" w:rsidRDefault="001B5504" w:rsidP="00BF212E">
            <w:pPr>
              <w:jc w:val="left"/>
              <w:rPr>
                <w:rFonts w:ascii="Titillium Web" w:hAnsi="Titillium Web"/>
                <w:i/>
                <w:iCs/>
                <w:szCs w:val="24"/>
              </w:rPr>
            </w:pPr>
            <w:r w:rsidRPr="00CF0B1C">
              <w:rPr>
                <w:rFonts w:ascii="Titillium Web" w:hAnsi="Titillium Web"/>
                <w:i/>
                <w:iCs/>
                <w:szCs w:val="24"/>
              </w:rPr>
              <w:t>Tomba 16 a umazione –</w:t>
            </w:r>
            <w:r w:rsidRPr="00CF0B1C">
              <w:rPr>
                <w:rFonts w:ascii="Titillium Web" w:hAnsi="Titillium Web"/>
                <w:i/>
                <w:iCs/>
                <w:szCs w:val="24"/>
              </w:rPr>
              <w:br/>
              <w:t>Alla distanza di m. 56 a nord-ovest delle tombe del 7 aprile – 00, si rinviene alla profondità di m. 0,50 una tomba a umazione –</w:t>
            </w:r>
            <w:r w:rsidRPr="00CF0B1C">
              <w:rPr>
                <w:rFonts w:ascii="Titillium Web" w:hAnsi="Titillium Web"/>
                <w:i/>
                <w:iCs/>
                <w:szCs w:val="24"/>
              </w:rPr>
              <w:br/>
              <w:t>Lo scheletro è orientato con la testa a lev. e i piedi a pon.</w:t>
            </w:r>
            <w:r w:rsidRPr="00CF0B1C">
              <w:rPr>
                <w:rFonts w:ascii="Titillium Web" w:hAnsi="Titillium Web"/>
                <w:i/>
                <w:iCs/>
                <w:szCs w:val="24"/>
              </w:rPr>
              <w:br/>
              <w:t>Sul (presso) fianco destro dello scheletro erano disposti in un mucchio i seguenti vasi:</w:t>
            </w:r>
            <w:r w:rsidRPr="00CF0B1C">
              <w:rPr>
                <w:rFonts w:ascii="Titillium Web" w:hAnsi="Titillium Web"/>
                <w:i/>
                <w:iCs/>
                <w:szCs w:val="24"/>
              </w:rPr>
              <w:br/>
              <w:t xml:space="preserve">2 anfore di terra gialla depurata e ben cotta, alte l’una 0,295, l’altra 0,265, intere, decorate con disegni di figure strapazzate e con palmette a volute. La tinta del disegno è bruna e i casi credo siano di fabbrica apula. Figure alate ignude, figure ammantate di una corporatura gonfia come un pallone, palmette che girano tutto all’intorno del collo delle </w:t>
            </w:r>
            <w:proofErr w:type="gramStart"/>
            <w:r w:rsidRPr="00CF0B1C">
              <w:rPr>
                <w:rFonts w:ascii="Titillium Web" w:hAnsi="Titillium Web"/>
                <w:i/>
                <w:iCs/>
                <w:szCs w:val="24"/>
              </w:rPr>
              <w:t>anfore</w:t>
            </w:r>
            <w:proofErr w:type="gramEnd"/>
            <w:r w:rsidRPr="00CF0B1C">
              <w:rPr>
                <w:rFonts w:ascii="Titillium Web" w:hAnsi="Titillium Web"/>
                <w:i/>
                <w:iCs/>
                <w:szCs w:val="24"/>
              </w:rPr>
              <w:t xml:space="preserve"> le quali hanno presso l’orofizio della </w:t>
            </w:r>
            <w:r w:rsidRPr="00CF0B1C">
              <w:rPr>
                <w:rFonts w:ascii="Titillium Web" w:hAnsi="Titillium Web"/>
                <w:i/>
                <w:iCs/>
                <w:strike/>
                <w:szCs w:val="24"/>
              </w:rPr>
              <w:t>bocca</w:t>
            </w:r>
            <w:r w:rsidRPr="00CF0B1C">
              <w:rPr>
                <w:rFonts w:ascii="Titillium Web" w:hAnsi="Titillium Web"/>
                <w:i/>
                <w:iCs/>
                <w:szCs w:val="24"/>
              </w:rPr>
              <w:t xml:space="preserve"> l’incastro</w:t>
            </w:r>
            <w:r w:rsidRPr="00CF0B1C">
              <w:rPr>
                <w:rFonts w:ascii="Titillium Web" w:hAnsi="Titillium Web"/>
                <w:i/>
                <w:iCs/>
                <w:szCs w:val="24"/>
              </w:rPr>
              <w:br/>
              <w:t>per 2 coperchi anche essi della stessa terra gialla – chiari – decorati a tinta bruna con motivi geometrici di linea: i coperchi sono in frammenti.</w:t>
            </w:r>
            <w:r w:rsidRPr="00CF0B1C">
              <w:rPr>
                <w:rFonts w:ascii="Titillium Web" w:hAnsi="Titillium Web"/>
                <w:i/>
                <w:iCs/>
                <w:szCs w:val="24"/>
              </w:rPr>
              <w:br/>
              <w:t>2 oinochoai con gli stessi disegni e della stessa terra giallo chiara, ma con bocca trilobata e con ansa verticale. Uno dei vasi è rotto nell’orlo e nell’ansa, e i frammenti furono tutti raccolti; l’altro vaso è in frammenti. L’intero è alto 0,295</w:t>
            </w:r>
            <w:r w:rsidRPr="00CF0B1C">
              <w:rPr>
                <w:rFonts w:ascii="Titillium Web" w:hAnsi="Titillium Web"/>
                <w:i/>
                <w:iCs/>
                <w:szCs w:val="24"/>
              </w:rPr>
              <w:br/>
              <w:t>1 lekane in frammenti (la tazza è frammentata) con il coperchio decorato di figure di donne in pose</w:t>
            </w:r>
            <w:r w:rsidRPr="00CF0B1C">
              <w:rPr>
                <w:rFonts w:ascii="Titillium Web" w:hAnsi="Titillium Web"/>
                <w:i/>
                <w:iCs/>
                <w:szCs w:val="24"/>
              </w:rPr>
              <w:br/>
              <w:t>strapiombanti, moventesi goffamente.</w:t>
            </w:r>
            <w:r w:rsidRPr="00CF0B1C">
              <w:rPr>
                <w:rFonts w:ascii="Titillium Web" w:hAnsi="Titillium Web"/>
                <w:i/>
                <w:iCs/>
                <w:szCs w:val="24"/>
              </w:rPr>
              <w:br/>
              <w:t>Di disegno tardo e trasandato.</w:t>
            </w:r>
            <w:r w:rsidRPr="00CF0B1C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CF0B1C">
              <w:rPr>
                <w:rFonts w:ascii="Titillium Web" w:hAnsi="Titillium Web"/>
                <w:i/>
                <w:iCs/>
                <w:szCs w:val="24"/>
              </w:rPr>
              <w:lastRenderedPageBreak/>
              <w:t>Nella tazza presso l’orlo sono motivi geometrici a denti di lupo [ndr: disegno della decorazione] – diam. del coperchio 0,19)</w:t>
            </w:r>
            <w:r w:rsidRPr="00CF0B1C">
              <w:rPr>
                <w:rFonts w:ascii="Titillium Web" w:hAnsi="Titillium Web"/>
                <w:i/>
                <w:iCs/>
                <w:szCs w:val="24"/>
              </w:rPr>
              <w:br/>
              <w:t>2 skyphoi in frammenti, a vern. nera</w:t>
            </w:r>
            <w:r w:rsidRPr="00CF0B1C">
              <w:rPr>
                <w:rFonts w:ascii="Titillium Web" w:hAnsi="Titillium Web"/>
                <w:i/>
                <w:iCs/>
                <w:szCs w:val="24"/>
              </w:rPr>
              <w:br/>
              <w:t>3 tazzette a vern. nera, con palmette impresse nel centro</w:t>
            </w:r>
            <w:r w:rsidRPr="00CF0B1C">
              <w:rPr>
                <w:rFonts w:ascii="Titillium Web" w:hAnsi="Titillium Web"/>
                <w:i/>
                <w:iCs/>
                <w:szCs w:val="24"/>
              </w:rPr>
              <w:br/>
              <w:t>1 lucerna, intatta, discoidale, a vern. nera con foglioline e circoli di ovoli superiormente; alta 0,11</w:t>
            </w:r>
            <w:r w:rsidRPr="00CF0B1C">
              <w:rPr>
                <w:rFonts w:ascii="Titillium Web" w:hAnsi="Titillium Web"/>
                <w:i/>
                <w:iCs/>
                <w:szCs w:val="24"/>
              </w:rPr>
              <w:br/>
              <w:t>8 fra piattelli e scodelle di terra nerastra locale, in parte frammentati –</w:t>
            </w:r>
          </w:p>
        </w:tc>
      </w:tr>
      <w:tr w:rsidR="001B5504" w:rsidRPr="00CF0B1C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CF0B1C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F0B1C">
              <w:rPr>
                <w:rFonts w:ascii="Titillium Web" w:hAnsi="Titillium Web"/>
                <w:smallCaps/>
                <w:szCs w:val="24"/>
              </w:rPr>
              <w:lastRenderedPageBreak/>
              <w:t>Corredo</w:t>
            </w:r>
          </w:p>
        </w:tc>
        <w:tc>
          <w:tcPr>
            <w:tcW w:w="3350" w:type="pct"/>
            <w:vAlign w:val="center"/>
          </w:tcPr>
          <w:p w14:paraId="38947CEF" w14:textId="469ED0F0" w:rsidR="00D02818" w:rsidRPr="00CF0B1C" w:rsidRDefault="00D02818" w:rsidP="00CF0B1C">
            <w:pPr>
              <w:contextualSpacing/>
              <w:jc w:val="center"/>
              <w:rPr>
                <w:rFonts w:ascii="Titillium Web" w:hAnsi="Titillium Web" w:cs="Times New Roman"/>
                <w:szCs w:val="24"/>
              </w:rPr>
            </w:pPr>
            <w:r w:rsidRPr="00CF0B1C">
              <w:rPr>
                <w:rFonts w:ascii="Titillium Web" w:hAnsi="Titillium Web" w:cs="Times New Roman"/>
                <w:szCs w:val="24"/>
              </w:rPr>
              <w:t>Lungo il fianco</w:t>
            </w:r>
            <w:r w:rsidR="00CF0B1C">
              <w:rPr>
                <w:rFonts w:ascii="Titillium Web" w:hAnsi="Titillium Web" w:cs="Times New Roman"/>
                <w:szCs w:val="24"/>
              </w:rPr>
              <w:t xml:space="preserve"> destro</w:t>
            </w:r>
            <w:r w:rsidRPr="00CF0B1C">
              <w:rPr>
                <w:rFonts w:ascii="Titillium Web" w:hAnsi="Titillium Web" w:cs="Times New Roman"/>
                <w:szCs w:val="24"/>
              </w:rPr>
              <w:t xml:space="preserve"> erano raggruppati gli oggetti del corredo. Il disegno del Proni permette di riconoscere la </w:t>
            </w:r>
            <w:proofErr w:type="spellStart"/>
            <w:r w:rsidRPr="00CF0B1C">
              <w:rPr>
                <w:rFonts w:ascii="Titillium Web" w:hAnsi="Titillium Web" w:cs="Times New Roman"/>
                <w:i/>
                <w:iCs/>
                <w:szCs w:val="24"/>
              </w:rPr>
              <w:t>lekanis</w:t>
            </w:r>
            <w:proofErr w:type="spellEnd"/>
            <w:r w:rsidRPr="00CF0B1C">
              <w:rPr>
                <w:rFonts w:ascii="Titillium Web" w:hAnsi="Titillium Web" w:cs="Times New Roman"/>
                <w:i/>
                <w:iCs/>
                <w:szCs w:val="24"/>
              </w:rPr>
              <w:t xml:space="preserve"> </w:t>
            </w:r>
            <w:r w:rsidRPr="00CF0B1C">
              <w:rPr>
                <w:rFonts w:ascii="Titillium Web" w:hAnsi="Titillium Web" w:cs="Times New Roman"/>
                <w:szCs w:val="24"/>
              </w:rPr>
              <w:t>attica a</w:t>
            </w:r>
            <w:r w:rsidR="00CF0B1C">
              <w:rPr>
                <w:rFonts w:ascii="Titillium Web" w:hAnsi="Titillium Web" w:cs="Times New Roman"/>
                <w:szCs w:val="24"/>
              </w:rPr>
              <w:t xml:space="preserve"> figure rosse</w:t>
            </w:r>
            <w:r w:rsidRPr="00CF0B1C">
              <w:rPr>
                <w:rFonts w:ascii="Titillium Web" w:hAnsi="Titillium Web" w:cs="Times New Roman"/>
                <w:szCs w:val="24"/>
              </w:rPr>
              <w:t xml:space="preserve"> al centro (n. 2), circondata dai vasi dai mensa (nn. 9-19), e, più esternamente, dai vasi per versare e mescere le bevande (nn. 3-6).</w:t>
            </w:r>
          </w:p>
          <w:p w14:paraId="6A7DAEAC" w14:textId="33E24D34" w:rsidR="00CF0B1C" w:rsidRPr="00CF0B1C" w:rsidRDefault="00CF0B1C" w:rsidP="00CF0B1C">
            <w:pPr>
              <w:contextualSpacing/>
              <w:jc w:val="center"/>
              <w:rPr>
                <w:rFonts w:ascii="Titillium Web" w:hAnsi="Titillium Web" w:cs="Times New Roman"/>
                <w:szCs w:val="24"/>
              </w:rPr>
            </w:pPr>
            <w:r w:rsidRPr="00CF0B1C">
              <w:rPr>
                <w:rFonts w:ascii="Titillium Web" w:hAnsi="Titillium Web" w:cs="Times New Roman"/>
                <w:szCs w:val="24"/>
              </w:rPr>
              <w:t xml:space="preserve">1. </w:t>
            </w:r>
            <w:r w:rsidRPr="00CF0B1C">
              <w:rPr>
                <w:rFonts w:ascii="Titillium Web" w:hAnsi="Titillium Web" w:cs="Times New Roman"/>
                <w:szCs w:val="24"/>
              </w:rPr>
              <w:t>Askòs lenticolare attico (IG 44698; figure rosse)</w:t>
            </w:r>
          </w:p>
          <w:p w14:paraId="72A2EC6D" w14:textId="3DB84406" w:rsidR="00CF0B1C" w:rsidRPr="00CF0B1C" w:rsidRDefault="00CF0B1C" w:rsidP="00CF0B1C">
            <w:pPr>
              <w:contextualSpacing/>
              <w:jc w:val="center"/>
              <w:rPr>
                <w:rFonts w:ascii="Titillium Web" w:hAnsi="Titillium Web" w:cs="Times New Roman"/>
                <w:szCs w:val="24"/>
              </w:rPr>
            </w:pPr>
            <w:r w:rsidRPr="00CF0B1C">
              <w:rPr>
                <w:rFonts w:ascii="Titillium Web" w:hAnsi="Titillium Web" w:cs="Times New Roman"/>
                <w:szCs w:val="24"/>
              </w:rPr>
              <w:t xml:space="preserve">2. </w:t>
            </w:r>
            <w:r w:rsidRPr="00CF0B1C">
              <w:rPr>
                <w:rFonts w:ascii="Titillium Web" w:hAnsi="Titillium Web" w:cs="Times New Roman"/>
                <w:szCs w:val="24"/>
              </w:rPr>
              <w:t>Lekanis attica (IG 2399; figure rosse)</w:t>
            </w:r>
          </w:p>
          <w:p w14:paraId="6F54F9AC" w14:textId="6EE11261" w:rsidR="00CF0B1C" w:rsidRPr="00CF0B1C" w:rsidRDefault="00CF0B1C" w:rsidP="00CF0B1C">
            <w:pPr>
              <w:contextualSpacing/>
              <w:jc w:val="center"/>
              <w:rPr>
                <w:rFonts w:ascii="Titillium Web" w:hAnsi="Titillium Web" w:cs="Times New Roman"/>
                <w:szCs w:val="24"/>
              </w:rPr>
            </w:pPr>
            <w:r w:rsidRPr="00CF0B1C">
              <w:rPr>
                <w:rFonts w:ascii="Titillium Web" w:hAnsi="Titillium Web" w:cs="Times New Roman"/>
                <w:szCs w:val="24"/>
              </w:rPr>
              <w:t xml:space="preserve">3. </w:t>
            </w:r>
            <w:r w:rsidRPr="00CF0B1C">
              <w:rPr>
                <w:rFonts w:ascii="Titillium Web" w:hAnsi="Titillium Web" w:cs="Times New Roman"/>
                <w:szCs w:val="24"/>
              </w:rPr>
              <w:t>Pelike alto-adriatica (IG 2208; figure rosse)</w:t>
            </w:r>
          </w:p>
          <w:p w14:paraId="29FB20DD" w14:textId="15BAE742" w:rsidR="00CF0B1C" w:rsidRPr="00CF0B1C" w:rsidRDefault="00CF0B1C" w:rsidP="00CF0B1C">
            <w:pPr>
              <w:contextualSpacing/>
              <w:jc w:val="center"/>
              <w:rPr>
                <w:rFonts w:ascii="Titillium Web" w:hAnsi="Titillium Web" w:cs="Times New Roman"/>
                <w:szCs w:val="24"/>
              </w:rPr>
            </w:pPr>
            <w:r w:rsidRPr="00CF0B1C">
              <w:rPr>
                <w:rFonts w:ascii="Titillium Web" w:hAnsi="Titillium Web" w:cs="Times New Roman"/>
                <w:szCs w:val="24"/>
              </w:rPr>
              <w:t xml:space="preserve">4. </w:t>
            </w:r>
            <w:r w:rsidRPr="00CF0B1C">
              <w:rPr>
                <w:rFonts w:ascii="Titillium Web" w:hAnsi="Titillium Web" w:cs="Times New Roman"/>
                <w:szCs w:val="24"/>
              </w:rPr>
              <w:t>Pelike alto-adriatica (IG 2209; figure rosse)</w:t>
            </w:r>
          </w:p>
          <w:p w14:paraId="22288EFC" w14:textId="10E9228F" w:rsidR="00CF0B1C" w:rsidRPr="00CF0B1C" w:rsidRDefault="00CF0B1C" w:rsidP="00CF0B1C">
            <w:pPr>
              <w:contextualSpacing/>
              <w:jc w:val="center"/>
              <w:rPr>
                <w:rFonts w:ascii="Titillium Web" w:hAnsi="Titillium Web" w:cs="Times New Roman"/>
                <w:szCs w:val="24"/>
              </w:rPr>
            </w:pPr>
            <w:r w:rsidRPr="00CF0B1C">
              <w:rPr>
                <w:rFonts w:ascii="Titillium Web" w:hAnsi="Titillium Web" w:cs="Times New Roman"/>
                <w:szCs w:val="24"/>
              </w:rPr>
              <w:t xml:space="preserve">5. </w:t>
            </w:r>
            <w:r w:rsidRPr="00CF0B1C">
              <w:rPr>
                <w:rFonts w:ascii="Titillium Web" w:hAnsi="Titillium Web" w:cs="Times New Roman"/>
                <w:szCs w:val="24"/>
              </w:rPr>
              <w:t>Chous alto-adriatico (IG 2215; vernice nera)</w:t>
            </w:r>
          </w:p>
          <w:p w14:paraId="09022514" w14:textId="22003EF2" w:rsidR="00CF0B1C" w:rsidRPr="00CF0B1C" w:rsidRDefault="00CF0B1C" w:rsidP="00CF0B1C">
            <w:pPr>
              <w:contextualSpacing/>
              <w:jc w:val="center"/>
              <w:rPr>
                <w:rFonts w:ascii="Titillium Web" w:hAnsi="Titillium Web" w:cs="Times New Roman"/>
                <w:szCs w:val="24"/>
              </w:rPr>
            </w:pPr>
            <w:r w:rsidRPr="00CF0B1C">
              <w:rPr>
                <w:rFonts w:ascii="Titillium Web" w:hAnsi="Titillium Web" w:cs="Times New Roman"/>
                <w:szCs w:val="24"/>
              </w:rPr>
              <w:t xml:space="preserve">6. </w:t>
            </w:r>
            <w:r w:rsidRPr="00CF0B1C">
              <w:rPr>
                <w:rFonts w:ascii="Titillium Web" w:hAnsi="Titillium Web" w:cs="Times New Roman"/>
                <w:szCs w:val="24"/>
              </w:rPr>
              <w:t>Chous alto-adriatico (IG 2216; vernice nera)</w:t>
            </w:r>
          </w:p>
          <w:p w14:paraId="32552757" w14:textId="66C5840F" w:rsidR="00CF0B1C" w:rsidRPr="00CF0B1C" w:rsidRDefault="00CF0B1C" w:rsidP="00CF0B1C">
            <w:pPr>
              <w:contextualSpacing/>
              <w:jc w:val="center"/>
              <w:rPr>
                <w:rFonts w:ascii="Titillium Web" w:hAnsi="Titillium Web" w:cs="Times New Roman"/>
                <w:szCs w:val="24"/>
              </w:rPr>
            </w:pPr>
            <w:r w:rsidRPr="00CF0B1C">
              <w:rPr>
                <w:rFonts w:ascii="Titillium Web" w:hAnsi="Titillium Web" w:cs="Times New Roman"/>
                <w:szCs w:val="24"/>
              </w:rPr>
              <w:t xml:space="preserve">7. </w:t>
            </w:r>
            <w:r w:rsidRPr="00CF0B1C">
              <w:rPr>
                <w:rFonts w:ascii="Titillium Web" w:hAnsi="Titillium Web" w:cs="Times New Roman"/>
                <w:szCs w:val="24"/>
              </w:rPr>
              <w:t>Skyphos attico (IG 497; vernice nera)</w:t>
            </w:r>
          </w:p>
          <w:p w14:paraId="07D2FB7E" w14:textId="272F46A8" w:rsidR="00CF0B1C" w:rsidRPr="00CF0B1C" w:rsidRDefault="00CF0B1C" w:rsidP="00CF0B1C">
            <w:pPr>
              <w:contextualSpacing/>
              <w:jc w:val="center"/>
              <w:rPr>
                <w:rFonts w:ascii="Titillium Web" w:hAnsi="Titillium Web" w:cs="Times New Roman"/>
                <w:szCs w:val="24"/>
              </w:rPr>
            </w:pPr>
            <w:r w:rsidRPr="00CF0B1C">
              <w:rPr>
                <w:rFonts w:ascii="Titillium Web" w:hAnsi="Titillium Web" w:cs="Times New Roman"/>
                <w:szCs w:val="24"/>
              </w:rPr>
              <w:t xml:space="preserve">8. </w:t>
            </w:r>
            <w:r w:rsidRPr="00CF0B1C">
              <w:rPr>
                <w:rFonts w:ascii="Titillium Web" w:hAnsi="Titillium Web" w:cs="Times New Roman"/>
                <w:szCs w:val="24"/>
              </w:rPr>
              <w:t>Skyphos attico (IG 498; vernice nera)</w:t>
            </w:r>
          </w:p>
          <w:p w14:paraId="4406BDCE" w14:textId="1486B25B" w:rsidR="00CF0B1C" w:rsidRPr="00CF0B1C" w:rsidRDefault="00CF0B1C" w:rsidP="00CF0B1C">
            <w:pPr>
              <w:contextualSpacing/>
              <w:jc w:val="center"/>
              <w:rPr>
                <w:rFonts w:ascii="Titillium Web" w:hAnsi="Titillium Web" w:cs="Times New Roman"/>
                <w:szCs w:val="24"/>
              </w:rPr>
            </w:pPr>
            <w:r w:rsidRPr="00CF0B1C">
              <w:rPr>
                <w:rFonts w:ascii="Titillium Web" w:hAnsi="Titillium Web" w:cs="Times New Roman"/>
                <w:szCs w:val="24"/>
              </w:rPr>
              <w:t xml:space="preserve">9. </w:t>
            </w:r>
            <w:r w:rsidRPr="00CF0B1C">
              <w:rPr>
                <w:rFonts w:ascii="Titillium Web" w:hAnsi="Titillium Web" w:cs="Times New Roman"/>
                <w:szCs w:val="24"/>
              </w:rPr>
              <w:t>Ciotola volterrana (IG 509; vernice nera)</w:t>
            </w:r>
          </w:p>
          <w:p w14:paraId="51AC680B" w14:textId="0F4C90D3" w:rsidR="00CF0B1C" w:rsidRPr="00CF0B1C" w:rsidRDefault="00CF0B1C" w:rsidP="00CF0B1C">
            <w:pPr>
              <w:contextualSpacing/>
              <w:jc w:val="center"/>
              <w:rPr>
                <w:rFonts w:ascii="Titillium Web" w:hAnsi="Titillium Web" w:cs="Times New Roman"/>
                <w:szCs w:val="24"/>
              </w:rPr>
            </w:pPr>
            <w:r w:rsidRPr="00CF0B1C">
              <w:rPr>
                <w:rFonts w:ascii="Titillium Web" w:hAnsi="Titillium Web" w:cs="Times New Roman"/>
                <w:szCs w:val="24"/>
              </w:rPr>
              <w:t xml:space="preserve">10. </w:t>
            </w:r>
            <w:r w:rsidRPr="00CF0B1C">
              <w:rPr>
                <w:rFonts w:ascii="Titillium Web" w:hAnsi="Titillium Web" w:cs="Times New Roman"/>
                <w:szCs w:val="24"/>
              </w:rPr>
              <w:t>Ciotola volterrana (IG 510; vernice nera)</w:t>
            </w:r>
          </w:p>
          <w:p w14:paraId="5E205086" w14:textId="19629FA6" w:rsidR="00CF0B1C" w:rsidRPr="00CF0B1C" w:rsidRDefault="00CF0B1C" w:rsidP="00CF0B1C">
            <w:pPr>
              <w:contextualSpacing/>
              <w:jc w:val="center"/>
              <w:rPr>
                <w:rFonts w:ascii="Titillium Web" w:hAnsi="Titillium Web" w:cs="Times New Roman"/>
                <w:szCs w:val="24"/>
              </w:rPr>
            </w:pPr>
            <w:r w:rsidRPr="00CF0B1C">
              <w:rPr>
                <w:rFonts w:ascii="Titillium Web" w:hAnsi="Titillium Web" w:cs="Times New Roman"/>
                <w:szCs w:val="24"/>
              </w:rPr>
              <w:t xml:space="preserve">11. </w:t>
            </w:r>
            <w:r w:rsidRPr="00CF0B1C">
              <w:rPr>
                <w:rFonts w:ascii="Titillium Web" w:hAnsi="Titillium Web" w:cs="Times New Roman"/>
                <w:szCs w:val="24"/>
              </w:rPr>
              <w:t>Ciotola volterrana (IG 511; vernice nera)</w:t>
            </w:r>
          </w:p>
          <w:p w14:paraId="18BE1F6A" w14:textId="47AEC677" w:rsidR="00CF0B1C" w:rsidRPr="00CF0B1C" w:rsidRDefault="00CF0B1C" w:rsidP="00CF0B1C">
            <w:pPr>
              <w:contextualSpacing/>
              <w:jc w:val="center"/>
              <w:rPr>
                <w:rFonts w:ascii="Titillium Web" w:hAnsi="Titillium Web" w:cs="Times New Roman"/>
                <w:szCs w:val="24"/>
              </w:rPr>
            </w:pPr>
            <w:r w:rsidRPr="00CF0B1C">
              <w:rPr>
                <w:rFonts w:ascii="Titillium Web" w:hAnsi="Titillium Web" w:cs="Times New Roman"/>
                <w:szCs w:val="24"/>
              </w:rPr>
              <w:t xml:space="preserve">12. </w:t>
            </w:r>
            <w:r w:rsidRPr="00CF0B1C">
              <w:rPr>
                <w:rFonts w:ascii="Titillium Web" w:hAnsi="Titillium Web" w:cs="Times New Roman"/>
                <w:szCs w:val="24"/>
              </w:rPr>
              <w:t>Coppa di produzione locale (IG 499; ceramica grigia)</w:t>
            </w:r>
          </w:p>
          <w:p w14:paraId="50C7ED37" w14:textId="7FD32375" w:rsidR="00CF0B1C" w:rsidRPr="00CF0B1C" w:rsidRDefault="00CF0B1C" w:rsidP="00CF0B1C">
            <w:pPr>
              <w:contextualSpacing/>
              <w:jc w:val="center"/>
              <w:rPr>
                <w:rFonts w:ascii="Titillium Web" w:hAnsi="Titillium Web" w:cs="Times New Roman"/>
                <w:szCs w:val="24"/>
              </w:rPr>
            </w:pPr>
            <w:r w:rsidRPr="00CF0B1C">
              <w:rPr>
                <w:rFonts w:ascii="Titillium Web" w:hAnsi="Titillium Web" w:cs="Times New Roman"/>
                <w:szCs w:val="24"/>
              </w:rPr>
              <w:t xml:space="preserve">13. </w:t>
            </w:r>
            <w:r w:rsidRPr="00CF0B1C">
              <w:rPr>
                <w:rFonts w:ascii="Titillium Web" w:hAnsi="Titillium Web" w:cs="Times New Roman"/>
                <w:szCs w:val="24"/>
              </w:rPr>
              <w:t>Coppa di produzione locale (IG 500; ceramica grigia)</w:t>
            </w:r>
          </w:p>
          <w:p w14:paraId="20E42A4E" w14:textId="40CE6C21" w:rsidR="00CF0B1C" w:rsidRPr="00CF0B1C" w:rsidRDefault="00CF0B1C" w:rsidP="00CF0B1C">
            <w:pPr>
              <w:contextualSpacing/>
              <w:jc w:val="center"/>
              <w:rPr>
                <w:rFonts w:ascii="Titillium Web" w:hAnsi="Titillium Web" w:cs="Times New Roman"/>
                <w:szCs w:val="24"/>
              </w:rPr>
            </w:pPr>
            <w:r w:rsidRPr="00CF0B1C">
              <w:rPr>
                <w:rFonts w:ascii="Titillium Web" w:hAnsi="Titillium Web" w:cs="Times New Roman"/>
                <w:szCs w:val="24"/>
              </w:rPr>
              <w:t xml:space="preserve">14. </w:t>
            </w:r>
            <w:r w:rsidRPr="00CF0B1C">
              <w:rPr>
                <w:rFonts w:ascii="Titillium Web" w:hAnsi="Titillium Web" w:cs="Times New Roman"/>
                <w:szCs w:val="24"/>
              </w:rPr>
              <w:t>Piatto di produzione locale (IG 503; ceramica grigia)</w:t>
            </w:r>
          </w:p>
          <w:p w14:paraId="6C37A536" w14:textId="71283FA0" w:rsidR="00CF0B1C" w:rsidRPr="00CF0B1C" w:rsidRDefault="00CF0B1C" w:rsidP="00CF0B1C">
            <w:pPr>
              <w:contextualSpacing/>
              <w:jc w:val="center"/>
              <w:rPr>
                <w:rFonts w:ascii="Titillium Web" w:hAnsi="Titillium Web" w:cs="Times New Roman"/>
                <w:szCs w:val="24"/>
              </w:rPr>
            </w:pPr>
            <w:r w:rsidRPr="00CF0B1C">
              <w:rPr>
                <w:rFonts w:ascii="Titillium Web" w:hAnsi="Titillium Web" w:cs="Times New Roman"/>
                <w:szCs w:val="24"/>
              </w:rPr>
              <w:t xml:space="preserve">15. </w:t>
            </w:r>
            <w:r w:rsidRPr="00CF0B1C">
              <w:rPr>
                <w:rFonts w:ascii="Titillium Web" w:hAnsi="Titillium Web" w:cs="Times New Roman"/>
                <w:szCs w:val="24"/>
              </w:rPr>
              <w:t>Piatto di produzione locale (IG 504; ceramica grigia)</w:t>
            </w:r>
          </w:p>
          <w:p w14:paraId="2DC9EF45" w14:textId="763B949F" w:rsidR="00CF0B1C" w:rsidRPr="00CF0B1C" w:rsidRDefault="00CF0B1C" w:rsidP="00CF0B1C">
            <w:pPr>
              <w:contextualSpacing/>
              <w:jc w:val="center"/>
              <w:rPr>
                <w:rFonts w:ascii="Titillium Web" w:hAnsi="Titillium Web" w:cs="Times New Roman"/>
                <w:szCs w:val="24"/>
              </w:rPr>
            </w:pPr>
            <w:r w:rsidRPr="00CF0B1C">
              <w:rPr>
                <w:rFonts w:ascii="Titillium Web" w:hAnsi="Titillium Web" w:cs="Times New Roman"/>
                <w:szCs w:val="24"/>
              </w:rPr>
              <w:t xml:space="preserve">16. </w:t>
            </w:r>
            <w:r w:rsidRPr="00CF0B1C">
              <w:rPr>
                <w:rFonts w:ascii="Titillium Web" w:hAnsi="Titillium Web" w:cs="Times New Roman"/>
                <w:szCs w:val="24"/>
              </w:rPr>
              <w:t>Piatto di produzione locale (IG 505; ceramica grigia)</w:t>
            </w:r>
          </w:p>
          <w:p w14:paraId="36ECFE36" w14:textId="76C367E4" w:rsidR="00CF0B1C" w:rsidRPr="00CF0B1C" w:rsidRDefault="00CF0B1C" w:rsidP="00CF0B1C">
            <w:pPr>
              <w:contextualSpacing/>
              <w:jc w:val="center"/>
              <w:rPr>
                <w:rFonts w:ascii="Titillium Web" w:hAnsi="Titillium Web" w:cs="Times New Roman"/>
                <w:szCs w:val="24"/>
              </w:rPr>
            </w:pPr>
            <w:r w:rsidRPr="00CF0B1C">
              <w:rPr>
                <w:rFonts w:ascii="Titillium Web" w:hAnsi="Titillium Web" w:cs="Times New Roman"/>
                <w:szCs w:val="24"/>
              </w:rPr>
              <w:t xml:space="preserve">17. </w:t>
            </w:r>
            <w:r w:rsidRPr="00CF0B1C">
              <w:rPr>
                <w:rFonts w:ascii="Titillium Web" w:hAnsi="Titillium Web" w:cs="Times New Roman"/>
                <w:szCs w:val="24"/>
              </w:rPr>
              <w:t>Piatto di produzione locale (IG 506; ceramica grigia)</w:t>
            </w:r>
          </w:p>
          <w:p w14:paraId="3CE136C8" w14:textId="5D944F0C" w:rsidR="00CF0B1C" w:rsidRPr="00CF0B1C" w:rsidRDefault="00CF0B1C" w:rsidP="00CF0B1C">
            <w:pPr>
              <w:contextualSpacing/>
              <w:jc w:val="center"/>
              <w:rPr>
                <w:rFonts w:ascii="Titillium Web" w:hAnsi="Titillium Web" w:cs="Times New Roman"/>
                <w:szCs w:val="24"/>
              </w:rPr>
            </w:pPr>
            <w:r w:rsidRPr="00CF0B1C">
              <w:rPr>
                <w:rFonts w:ascii="Titillium Web" w:hAnsi="Titillium Web" w:cs="Times New Roman"/>
                <w:szCs w:val="24"/>
              </w:rPr>
              <w:t xml:space="preserve">18. </w:t>
            </w:r>
            <w:r w:rsidRPr="00CF0B1C">
              <w:rPr>
                <w:rFonts w:ascii="Titillium Web" w:hAnsi="Titillium Web" w:cs="Times New Roman"/>
                <w:szCs w:val="24"/>
              </w:rPr>
              <w:t>Piatto di produzione locale (IG 507; ceramica grigia)</w:t>
            </w:r>
          </w:p>
          <w:p w14:paraId="5EE32F9C" w14:textId="4FC82B03" w:rsidR="001B5504" w:rsidRPr="00CF0B1C" w:rsidRDefault="00CF0B1C" w:rsidP="00CF0B1C">
            <w:pPr>
              <w:contextualSpacing/>
              <w:jc w:val="center"/>
              <w:rPr>
                <w:rFonts w:ascii="Titillium Web" w:hAnsi="Titillium Web" w:cs="Times New Roman"/>
                <w:szCs w:val="24"/>
              </w:rPr>
            </w:pPr>
            <w:r w:rsidRPr="00CF0B1C">
              <w:rPr>
                <w:rFonts w:ascii="Titillium Web" w:hAnsi="Titillium Web" w:cs="Times New Roman"/>
                <w:szCs w:val="24"/>
              </w:rPr>
              <w:t xml:space="preserve">19. </w:t>
            </w:r>
            <w:r w:rsidRPr="00CF0B1C">
              <w:rPr>
                <w:rFonts w:ascii="Titillium Web" w:hAnsi="Titillium Web" w:cs="Times New Roman"/>
                <w:szCs w:val="24"/>
              </w:rPr>
              <w:t>Piatto di produzione locale (IG 508; ceramica grigia)</w:t>
            </w:r>
          </w:p>
        </w:tc>
      </w:tr>
      <w:tr w:rsidR="001B5504" w:rsidRPr="00CF0B1C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CF0B1C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F0B1C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1F461C85" w:rsidR="001B5504" w:rsidRPr="00CF0B1C" w:rsidRDefault="00CF0B1C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CF0B1C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1B5504" w:rsidRPr="00CF0B1C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CF0B1C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F0B1C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33A002F8" w:rsidR="001B5504" w:rsidRPr="00CF0B1C" w:rsidRDefault="00D02818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CF0B1C">
              <w:rPr>
                <w:rFonts w:ascii="Titillium Web" w:hAnsi="Titillium Web" w:cs="Times New Roman"/>
                <w:szCs w:val="24"/>
              </w:rPr>
              <w:t xml:space="preserve">Si </w:t>
            </w:r>
            <w:proofErr w:type="spellStart"/>
            <w:r w:rsidRPr="00CF0B1C">
              <w:rPr>
                <w:rFonts w:ascii="Titillium Web" w:hAnsi="Titillium Web" w:cs="Times New Roman"/>
                <w:szCs w:val="24"/>
              </w:rPr>
              <w:t>riscontra</w:t>
            </w:r>
            <w:proofErr w:type="spellEnd"/>
            <w:r w:rsidRPr="00CF0B1C">
              <w:rPr>
                <w:rFonts w:ascii="Titillium Web" w:hAnsi="Titillium Web" w:cs="Times New Roman"/>
                <w:szCs w:val="24"/>
              </w:rPr>
              <w:t xml:space="preserve"> piena corrispondenza fra gli elementi elencati nel GdS e quelli registrati in IG.</w:t>
            </w:r>
          </w:p>
        </w:tc>
      </w:tr>
      <w:tr w:rsidR="001B5504" w:rsidRPr="00CF0B1C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CF0B1C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F0B1C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CF0B1C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CF0B1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CF0B1C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CF0B1C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F0B1C">
              <w:rPr>
                <w:rFonts w:ascii="Titillium Web" w:hAnsi="Titillium Web"/>
                <w:smallCaps/>
                <w:szCs w:val="24"/>
              </w:rPr>
              <w:lastRenderedPageBreak/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CF0B1C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CF0B1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CF0B1C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CF0B1C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F0B1C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CF0B1C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CF0B1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CF0B1C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CF0B1C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F0B1C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CF0B1C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CF0B1C">
              <w:rPr>
                <w:rFonts w:ascii="Titillium Web" w:hAnsi="Titillium Web"/>
                <w:szCs w:val="24"/>
              </w:rPr>
              <w:t>Fra IV e III sec. a.C.</w:t>
            </w:r>
          </w:p>
        </w:tc>
      </w:tr>
      <w:tr w:rsidR="001B5504" w:rsidRPr="00CF0B1C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CF0B1C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F0B1C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67752328" w:rsidR="001B5504" w:rsidRPr="00CF0B1C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CF0B1C">
              <w:rPr>
                <w:rFonts w:ascii="Titillium Web" w:hAnsi="Titillium Web"/>
                <w:smallCaps/>
                <w:szCs w:val="24"/>
              </w:rPr>
              <w:t>Negrioli</w:t>
            </w:r>
            <w:r w:rsidRPr="00CF0B1C">
              <w:rPr>
                <w:rFonts w:ascii="Titillium Web" w:hAnsi="Titillium Web"/>
                <w:szCs w:val="24"/>
              </w:rPr>
              <w:t xml:space="preserve"> 1924, pp. 291, 304-305; </w:t>
            </w:r>
            <w:r w:rsidRPr="00CF0B1C">
              <w:rPr>
                <w:rFonts w:ascii="Titillium Web" w:hAnsi="Titillium Web"/>
                <w:smallCaps/>
                <w:szCs w:val="24"/>
              </w:rPr>
              <w:t>Massei</w:t>
            </w:r>
            <w:r w:rsidRPr="00CF0B1C">
              <w:rPr>
                <w:rFonts w:ascii="Titillium Web" w:hAnsi="Titillium Web"/>
                <w:szCs w:val="24"/>
              </w:rPr>
              <w:t xml:space="preserve"> 1978, pp. 72-73, n. 48, tavv. XIX, n. 1; </w:t>
            </w:r>
            <w:r w:rsidRPr="00CF0B1C">
              <w:rPr>
                <w:rFonts w:ascii="Titillium Web" w:hAnsi="Titillium Web"/>
                <w:smallCaps/>
                <w:szCs w:val="24"/>
              </w:rPr>
              <w:t>Berti</w:t>
            </w:r>
            <w:r w:rsidRPr="00CF0B1C">
              <w:rPr>
                <w:rFonts w:ascii="Titillium Web" w:hAnsi="Titillium Web"/>
                <w:szCs w:val="24"/>
              </w:rPr>
              <w:t xml:space="preserve"> 1983, p. 59; </w:t>
            </w:r>
            <w:r w:rsidRPr="00CF0B1C">
              <w:rPr>
                <w:rFonts w:ascii="Titillium Web" w:hAnsi="Titillium Web"/>
                <w:smallCaps/>
                <w:szCs w:val="24"/>
              </w:rPr>
              <w:t>Berti</w:t>
            </w:r>
            <w:r w:rsidRPr="00CF0B1C">
              <w:rPr>
                <w:rFonts w:ascii="Titillium Web" w:hAnsi="Titillium Web"/>
                <w:szCs w:val="24"/>
              </w:rPr>
              <w:t xml:space="preserve"> 1987, pp. 354-359, figg. 237-238.</w:t>
            </w:r>
          </w:p>
        </w:tc>
      </w:tr>
      <w:tr w:rsidR="001B5504" w:rsidRPr="00CF0B1C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CF0B1C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F0B1C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CF0B1C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D72F4"/>
    <w:rsid w:val="001230C8"/>
    <w:rsid w:val="001B5504"/>
    <w:rsid w:val="001F2833"/>
    <w:rsid w:val="00247775"/>
    <w:rsid w:val="0029024B"/>
    <w:rsid w:val="002977D7"/>
    <w:rsid w:val="002F1500"/>
    <w:rsid w:val="00472AF4"/>
    <w:rsid w:val="005B5AFF"/>
    <w:rsid w:val="0068458A"/>
    <w:rsid w:val="00710B38"/>
    <w:rsid w:val="007145BC"/>
    <w:rsid w:val="007D54CD"/>
    <w:rsid w:val="00942E70"/>
    <w:rsid w:val="00943EAC"/>
    <w:rsid w:val="00950348"/>
    <w:rsid w:val="00975CA9"/>
    <w:rsid w:val="00997946"/>
    <w:rsid w:val="009E4922"/>
    <w:rsid w:val="00A52A70"/>
    <w:rsid w:val="00B165C4"/>
    <w:rsid w:val="00B86B2D"/>
    <w:rsid w:val="00BE2CB2"/>
    <w:rsid w:val="00BE63CC"/>
    <w:rsid w:val="00BF212E"/>
    <w:rsid w:val="00C21EE0"/>
    <w:rsid w:val="00C30F5C"/>
    <w:rsid w:val="00CC46E5"/>
    <w:rsid w:val="00CF0B1C"/>
    <w:rsid w:val="00D02818"/>
    <w:rsid w:val="00D54723"/>
    <w:rsid w:val="00DB1668"/>
    <w:rsid w:val="00DF6684"/>
    <w:rsid w:val="00E0524C"/>
    <w:rsid w:val="00F2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576</Words>
  <Characters>3288</Characters>
  <Application>Microsoft Office Word</Application>
  <DocSecurity>0</DocSecurity>
  <Lines>27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15</cp:revision>
  <dcterms:created xsi:type="dcterms:W3CDTF">2026-04-28T14:33:00Z</dcterms:created>
  <dcterms:modified xsi:type="dcterms:W3CDTF">2026-05-16T07:27:00Z</dcterms:modified>
</cp:coreProperties>
</file>