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B434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A24B3" w14:paraId="7A0F7EE4" w14:textId="77777777" w:rsidTr="002665C6">
        <w:trPr>
          <w:jc w:val="center"/>
        </w:trPr>
        <w:tc>
          <w:tcPr>
            <w:tcW w:w="1650" w:type="pct"/>
            <w:vAlign w:val="center"/>
          </w:tcPr>
          <w:p w14:paraId="49FAF985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C4339DC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AA24B3" w14:paraId="36322FFD" w14:textId="77777777" w:rsidTr="002665C6">
        <w:trPr>
          <w:jc w:val="center"/>
        </w:trPr>
        <w:tc>
          <w:tcPr>
            <w:tcW w:w="1650" w:type="pct"/>
            <w:vAlign w:val="center"/>
          </w:tcPr>
          <w:p w14:paraId="3F83E617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21EE489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A24B3" w14:paraId="2742A8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3E67DD0B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3197CA8F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A24B3" w14:paraId="5D40B8E5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44BE62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3F488C72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A24B3" w14:paraId="31C63A31" w14:textId="77777777" w:rsidTr="002665C6">
        <w:trPr>
          <w:jc w:val="center"/>
        </w:trPr>
        <w:tc>
          <w:tcPr>
            <w:tcW w:w="1650" w:type="pct"/>
            <w:vAlign w:val="center"/>
          </w:tcPr>
          <w:p w14:paraId="17020DF9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44DEC8B2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AA24B3" w14:paraId="0634CBC1" w14:textId="77777777" w:rsidTr="002665C6">
        <w:trPr>
          <w:jc w:val="center"/>
        </w:trPr>
        <w:tc>
          <w:tcPr>
            <w:tcW w:w="1650" w:type="pct"/>
            <w:vAlign w:val="center"/>
          </w:tcPr>
          <w:p w14:paraId="1CB3485D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24EBD41B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A24B3" w14:paraId="03A07AF1" w14:textId="77777777" w:rsidTr="002665C6">
        <w:trPr>
          <w:jc w:val="center"/>
        </w:trPr>
        <w:tc>
          <w:tcPr>
            <w:tcW w:w="1650" w:type="pct"/>
            <w:vAlign w:val="center"/>
          </w:tcPr>
          <w:p w14:paraId="32796A94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76FA83D5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AA24B3" w14:paraId="0901A5B9" w14:textId="77777777" w:rsidTr="002665C6">
        <w:trPr>
          <w:jc w:val="center"/>
        </w:trPr>
        <w:tc>
          <w:tcPr>
            <w:tcW w:w="1650" w:type="pct"/>
            <w:vAlign w:val="center"/>
          </w:tcPr>
          <w:p w14:paraId="3E992D11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562C3E3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A24B3" w14:paraId="542E076E" w14:textId="77777777" w:rsidTr="002665C6">
        <w:trPr>
          <w:jc w:val="center"/>
        </w:trPr>
        <w:tc>
          <w:tcPr>
            <w:tcW w:w="1650" w:type="pct"/>
            <w:vAlign w:val="center"/>
          </w:tcPr>
          <w:p w14:paraId="1F3F5DE9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D0273DB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>160 Tomba a umazione</w:t>
            </w:r>
          </w:p>
          <w:p w14:paraId="42238BF3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Sotto alla precedente, a m. 1,10 di profondità, giace uno </w:t>
            </w:r>
            <w:proofErr w:type="gramStart"/>
            <w:r w:rsidRPr="00AA24B3">
              <w:rPr>
                <w:rFonts w:ascii="Titillium Web" w:hAnsi="Titillium Web"/>
                <w:i/>
                <w:iCs/>
                <w:szCs w:val="24"/>
              </w:rPr>
              <w:t>scheletro</w:t>
            </w:r>
            <w:proofErr w:type="gramEnd"/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 il quale ha le gambe a oriente ma il corpo fa quasi un angolo retto e la testa e il busto sono </w:t>
            </w:r>
            <w:proofErr w:type="spellStart"/>
            <w:r w:rsidRPr="00AA24B3">
              <w:rPr>
                <w:rFonts w:ascii="Titillium Web" w:hAnsi="Titillium Web"/>
                <w:i/>
                <w:iCs/>
                <w:szCs w:val="24"/>
              </w:rPr>
              <w:t>sono</w:t>
            </w:r>
            <w:proofErr w:type="spellEnd"/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 orientati a Nord. Sul cranio dello scheletro era ancora in posto</w:t>
            </w:r>
          </w:p>
          <w:p w14:paraId="68BCB8A0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oro una tenia aurea composta di una fascia di lamina sottilissima di oro lunga 0,305 (dico 0, trentacinque mm) e larga mm. 38 la quale ha una costa nel mezzo della lunghezza e i bordi leggermente rovesciati con i capi di forma rotonda in cui a sbalzo o a pressione, sono decorati di una figura di cavaliere ignudo che cavalca un cavallo e con la destra dietro di </w:t>
            </w:r>
            <w:proofErr w:type="gramStart"/>
            <w:r w:rsidRPr="00AA24B3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 regge lo scudo. Le due figurine ai due capi sono eguali cioè calcate su di un medesimo stampo; i dettagli lasciano a desiderare, anzi non sono decifrabili, specie la testa del cavaliere.</w:t>
            </w:r>
          </w:p>
          <w:p w14:paraId="2B03B9AD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>La tenia presso i due capi ha i relativi forellini in cui entravano a modo d’uncino, i capi appuntiti e piegati di una sottilissima fettuccia di lamina d’oro lunga 0,265 e larga 0, 004 pesa g. 15,5</w:t>
            </w:r>
          </w:p>
          <w:p w14:paraId="48F6FCBC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464A9ECC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>una raggiera di bronzo, per candelabro, a 4 branche; una statuina di candelabro, di bronzo, intera, rappresentante un giovane ignudo – bene conservata alta cm 11.</w:t>
            </w:r>
          </w:p>
          <w:p w14:paraId="37BAE488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>Un’ansa di bronzo (manico) con attacchi, che doveva appartenere al coperchio di un vaso di bronzo del quale</w:t>
            </w:r>
          </w:p>
          <w:p w14:paraId="17DE08E1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spellStart"/>
            <w:r w:rsidRPr="00AA24B3">
              <w:rPr>
                <w:rFonts w:ascii="Titillium Web" w:hAnsi="Titillium Web"/>
                <w:i/>
                <w:iCs/>
                <w:szCs w:val="24"/>
              </w:rPr>
              <w:lastRenderedPageBreak/>
              <w:t>si</w:t>
            </w:r>
            <w:proofErr w:type="spellEnd"/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 raccolsero soltanto pochi </w:t>
            </w:r>
            <w:proofErr w:type="gramStart"/>
            <w:r w:rsidRPr="00AA24B3">
              <w:rPr>
                <w:rFonts w:ascii="Titillium Web" w:hAnsi="Titillium Web"/>
                <w:i/>
                <w:iCs/>
                <w:szCs w:val="24"/>
              </w:rPr>
              <w:t>frammenti</w:t>
            </w:r>
            <w:proofErr w:type="gramEnd"/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 fra i quali il fondo –</w:t>
            </w:r>
          </w:p>
          <w:p w14:paraId="3C07608D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un anello con attacco, che doveva tenerlo attaccato ad una </w:t>
            </w:r>
            <w:proofErr w:type="spellStart"/>
            <w:r w:rsidRPr="00AA24B3">
              <w:rPr>
                <w:rFonts w:ascii="Titillium Web" w:hAnsi="Titillium Web"/>
                <w:i/>
                <w:iCs/>
                <w:szCs w:val="24"/>
              </w:rPr>
              <w:t>tegghia</w:t>
            </w:r>
            <w:proofErr w:type="spellEnd"/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 –</w:t>
            </w:r>
          </w:p>
          <w:p w14:paraId="020FDFA3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>sul fianco sinistro dello scheletro erano:</w:t>
            </w:r>
          </w:p>
          <w:p w14:paraId="36031E99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>un vaso di bronzo a forma di oinochoe con bocca circolare di cui non rimane che l’ansa la quale ha in fondo all’attacco che poggia sul ventre del vaso, un dischetto in cui a sbalzo è raffigurata la testa di Medusa con qualche ritocco a bulino (0,225). Tracce di doratura?</w:t>
            </w:r>
          </w:p>
          <w:p w14:paraId="30B997C5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>Si raccolsero qualche minutissimo frammento della bocca. L’ansa è alta m. 0,225.</w:t>
            </w:r>
          </w:p>
          <w:p w14:paraId="5B003648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2 </w:t>
            </w:r>
            <w:proofErr w:type="spellStart"/>
            <w:r w:rsidRPr="00AA24B3">
              <w:rPr>
                <w:rFonts w:ascii="Titillium Web" w:hAnsi="Titillium Web"/>
                <w:i/>
                <w:iCs/>
                <w:szCs w:val="24"/>
              </w:rPr>
              <w:t>oinocoi</w:t>
            </w:r>
            <w:proofErr w:type="spellEnd"/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 a forma di brocca, a v.n., interi, alto 0,16</w:t>
            </w:r>
          </w:p>
          <w:p w14:paraId="322F6091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>1 aryballos ovoidale, in frr. con fig. rosse sul ventre.</w:t>
            </w:r>
          </w:p>
          <w:p w14:paraId="5E98708B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A24B3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 tazzine a v.n., intere, (una ha una sigla graffita nel piattello.)</w:t>
            </w:r>
          </w:p>
          <w:p w14:paraId="1922647B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A24B3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AA24B3">
              <w:rPr>
                <w:rFonts w:ascii="Titillium Web" w:hAnsi="Titillium Web"/>
                <w:i/>
                <w:iCs/>
                <w:szCs w:val="24"/>
              </w:rPr>
              <w:t xml:space="preserve"> piattelli interi, a v.n. scadente</w:t>
            </w:r>
          </w:p>
          <w:p w14:paraId="5775904F" w14:textId="77777777" w:rsidR="003A63E8" w:rsidRPr="00AA24B3" w:rsidRDefault="008E32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4B3">
              <w:rPr>
                <w:rFonts w:ascii="Titillium Web" w:hAnsi="Titillium Web"/>
                <w:i/>
                <w:iCs/>
                <w:szCs w:val="24"/>
              </w:rPr>
              <w:t>altri cocci di piattelli o vasetti minori.</w:t>
            </w:r>
          </w:p>
        </w:tc>
      </w:tr>
      <w:tr w:rsidR="0086297F" w:rsidRPr="00AA24B3" w14:paraId="04A9E0F4" w14:textId="77777777" w:rsidTr="002665C6">
        <w:trPr>
          <w:jc w:val="center"/>
        </w:trPr>
        <w:tc>
          <w:tcPr>
            <w:tcW w:w="1650" w:type="pct"/>
            <w:vAlign w:val="center"/>
          </w:tcPr>
          <w:p w14:paraId="04DFF3E9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1E9CE92B" w14:textId="231C37E7" w:rsidR="0086297F" w:rsidRPr="00AA24B3" w:rsidRDefault="0012193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AA24B3" w14:paraId="3FE843EF" w14:textId="77777777" w:rsidTr="002665C6">
        <w:trPr>
          <w:jc w:val="center"/>
        </w:trPr>
        <w:tc>
          <w:tcPr>
            <w:tcW w:w="1650" w:type="pct"/>
            <w:vAlign w:val="center"/>
          </w:tcPr>
          <w:p w14:paraId="0427AB50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0E3D829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24B3" w14:paraId="2509D003" w14:textId="77777777" w:rsidTr="002665C6">
        <w:trPr>
          <w:jc w:val="center"/>
        </w:trPr>
        <w:tc>
          <w:tcPr>
            <w:tcW w:w="1650" w:type="pct"/>
            <w:vAlign w:val="center"/>
          </w:tcPr>
          <w:p w14:paraId="4C82F3A7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6CA2C14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24B3" w14:paraId="46D72F57" w14:textId="77777777" w:rsidTr="002665C6">
        <w:trPr>
          <w:jc w:val="center"/>
        </w:trPr>
        <w:tc>
          <w:tcPr>
            <w:tcW w:w="1650" w:type="pct"/>
            <w:vAlign w:val="center"/>
          </w:tcPr>
          <w:p w14:paraId="047DC747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6852AD81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24B3" w14:paraId="5072BD6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83FF1A6" w14:textId="77777777" w:rsidR="0086297F" w:rsidRPr="00AA24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8264D5D" w14:textId="3A816265" w:rsidR="0086297F" w:rsidRPr="00AA24B3" w:rsidRDefault="00AA24B3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4B3">
              <w:rPr>
                <w:rFonts w:ascii="Titillium Web" w:hAnsi="Titillium Web"/>
                <w:smallCaps/>
                <w:szCs w:val="24"/>
              </w:rPr>
              <w:t>Negrioli</w:t>
            </w:r>
            <w:r w:rsidRPr="00AA24B3">
              <w:rPr>
                <w:rFonts w:ascii="Titillium Web" w:hAnsi="Titillium Web"/>
                <w:szCs w:val="24"/>
              </w:rPr>
              <w:t xml:space="preserve"> 1924, p. 297; </w:t>
            </w:r>
            <w:r w:rsidRPr="00AA24B3">
              <w:rPr>
                <w:rFonts w:ascii="Titillium Web" w:hAnsi="Titillium Web"/>
                <w:smallCaps/>
                <w:szCs w:val="24"/>
              </w:rPr>
              <w:t>Berti</w:t>
            </w:r>
            <w:r w:rsidRPr="00AA24B3">
              <w:rPr>
                <w:rFonts w:ascii="Titillium Web" w:hAnsi="Titillium Web"/>
                <w:szCs w:val="24"/>
              </w:rPr>
              <w:t xml:space="preserve"> 1983, p. 45; </w:t>
            </w:r>
            <w:r w:rsidRPr="00AA24B3">
              <w:rPr>
                <w:rFonts w:ascii="Titillium Web" w:hAnsi="Titillium Web"/>
                <w:smallCaps/>
                <w:szCs w:val="24"/>
              </w:rPr>
              <w:t>Berti</w:t>
            </w:r>
            <w:r w:rsidRPr="00AA24B3">
              <w:rPr>
                <w:rFonts w:ascii="Titillium Web" w:hAnsi="Titillium Web"/>
                <w:szCs w:val="24"/>
              </w:rPr>
              <w:t xml:space="preserve"> 1993, pp. 51-53; </w:t>
            </w:r>
            <w:r w:rsidRPr="00AA24B3">
              <w:rPr>
                <w:rFonts w:ascii="Titillium Web" w:hAnsi="Titillium Web"/>
                <w:smallCaps/>
                <w:szCs w:val="24"/>
              </w:rPr>
              <w:t>Hostetter</w:t>
            </w:r>
            <w:r w:rsidRPr="00AA24B3">
              <w:rPr>
                <w:rFonts w:ascii="Titillium Web" w:hAnsi="Titillium Web"/>
                <w:szCs w:val="24"/>
              </w:rPr>
              <w:t xml:space="preserve"> 1986, pp. 83-84, tavv. 58 c, 59 a-c;</w:t>
            </w:r>
            <w:r w:rsidRPr="00AA24B3">
              <w:rPr>
                <w:rFonts w:ascii="Titillium Web" w:hAnsi="Titillium Web"/>
                <w:szCs w:val="24"/>
              </w:rPr>
              <w:t xml:space="preserve"> </w:t>
            </w:r>
            <w:r w:rsidRPr="00AA24B3">
              <w:rPr>
                <w:rFonts w:ascii="Titillium Web" w:hAnsi="Titillium Web"/>
                <w:smallCaps/>
                <w:szCs w:val="24"/>
              </w:rPr>
              <w:t>Trevisanello</w:t>
            </w:r>
            <w:r w:rsidRPr="00AA24B3">
              <w:rPr>
                <w:rFonts w:ascii="Titillium Web" w:hAnsi="Titillium Web"/>
                <w:szCs w:val="24"/>
              </w:rPr>
              <w:t xml:space="preserve"> 2024</w:t>
            </w:r>
          </w:p>
        </w:tc>
      </w:tr>
    </w:tbl>
    <w:p w14:paraId="5CD80ED9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1930"/>
    <w:rsid w:val="001C17CC"/>
    <w:rsid w:val="002977D7"/>
    <w:rsid w:val="003A63E8"/>
    <w:rsid w:val="00472AF4"/>
    <w:rsid w:val="00551AF8"/>
    <w:rsid w:val="005B5AFF"/>
    <w:rsid w:val="006162A4"/>
    <w:rsid w:val="006346F7"/>
    <w:rsid w:val="006D6EFB"/>
    <w:rsid w:val="007145BC"/>
    <w:rsid w:val="007A5A2A"/>
    <w:rsid w:val="0086297F"/>
    <w:rsid w:val="009E4922"/>
    <w:rsid w:val="00AA24B3"/>
    <w:rsid w:val="00AB321D"/>
    <w:rsid w:val="00B165C4"/>
    <w:rsid w:val="00C21EE0"/>
    <w:rsid w:val="00C65C7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157AE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2026-05-17T20:26:00Z</dcterms:modified>
</cp:coreProperties>
</file>