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167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9162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9162D" w:rsidRDefault="0086297F" w:rsidP="002665C6">
            <w:pPr>
              <w:jc w:val="center"/>
              <w:rPr>
                <w:rFonts w:ascii="Titillium Web" w:hAnsi="Titillium Web"/>
              </w:rPr>
            </w:pPr>
            <w:r w:rsidRPr="00D9162D">
              <w:rPr>
                <w:rFonts w:ascii="Titillium Web" w:hAnsi="Titillium Web"/>
              </w:rPr>
              <w:t>1923</w:t>
            </w:r>
          </w:p>
        </w:tc>
      </w:tr>
      <w:tr w:rsidR="0086297F" w:rsidRPr="00D9162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9162D" w:rsidRDefault="0086297F" w:rsidP="002665C6">
            <w:pPr>
              <w:jc w:val="center"/>
              <w:rPr>
                <w:rFonts w:ascii="Titillium Web" w:hAnsi="Titillium Web"/>
              </w:rPr>
            </w:pPr>
            <w:r w:rsidRPr="00D9162D">
              <w:rPr>
                <w:rFonts w:ascii="Titillium Web" w:hAnsi="Titillium Web"/>
              </w:rPr>
              <w:t>Intatta</w:t>
            </w:r>
          </w:p>
        </w:tc>
      </w:tr>
      <w:tr w:rsidR="0086297F" w:rsidRPr="00D9162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9162D" w:rsidRDefault="0086297F" w:rsidP="002665C6">
            <w:pPr>
              <w:jc w:val="center"/>
              <w:rPr>
                <w:rFonts w:ascii="Titillium Web" w:hAnsi="Titillium Web"/>
              </w:rPr>
            </w:pPr>
            <w:r w:rsidRPr="00D9162D">
              <w:rPr>
                <w:rFonts w:ascii="Titillium Web" w:hAnsi="Titillium Web"/>
              </w:rPr>
              <w:t>Cremazione</w:t>
            </w:r>
          </w:p>
        </w:tc>
      </w:tr>
      <w:tr w:rsidR="0086297F" w:rsidRPr="00D9162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9162D" w:rsidRDefault="0086297F" w:rsidP="002665C6">
            <w:pPr>
              <w:jc w:val="center"/>
              <w:rPr>
                <w:rFonts w:ascii="Titillium Web" w:hAnsi="Titillium Web"/>
              </w:rPr>
            </w:pPr>
            <w:r w:rsidRPr="00D9162D">
              <w:rPr>
                <w:rFonts w:ascii="Titillium Web" w:hAnsi="Titillium Web"/>
              </w:rPr>
              <w:t>pozzetto semplice</w:t>
            </w:r>
          </w:p>
        </w:tc>
      </w:tr>
      <w:tr w:rsidR="0086297F" w:rsidRPr="00D9162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9162D" w:rsidRDefault="0086297F" w:rsidP="002665C6">
            <w:pPr>
              <w:jc w:val="center"/>
              <w:rPr>
                <w:rFonts w:ascii="Titillium Web" w:hAnsi="Titillium Web"/>
              </w:rPr>
            </w:pPr>
            <w:r w:rsidRPr="00D9162D">
              <w:rPr>
                <w:rFonts w:ascii="Titillium Web" w:hAnsi="Titillium Web"/>
              </w:rPr>
              <w:t>1 m</w:t>
            </w:r>
          </w:p>
        </w:tc>
      </w:tr>
      <w:tr w:rsidR="0086297F" w:rsidRPr="00D9162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9162D" w:rsidRDefault="0086297F" w:rsidP="002665C6">
            <w:pPr>
              <w:jc w:val="center"/>
              <w:rPr>
                <w:rFonts w:ascii="Titillium Web" w:hAnsi="Titillium Web"/>
              </w:rPr>
            </w:pPr>
            <w:r w:rsidRPr="00D9162D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D9162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9162D" w:rsidRDefault="0086297F" w:rsidP="002665C6">
            <w:pPr>
              <w:jc w:val="center"/>
              <w:rPr>
                <w:rFonts w:ascii="Titillium Web" w:hAnsi="Titillium Web"/>
              </w:rPr>
            </w:pPr>
            <w:r w:rsidRPr="00D9162D">
              <w:rPr>
                <w:rFonts w:ascii="Titillium Web" w:hAnsi="Titillium Web"/>
              </w:rPr>
              <w:t>/</w:t>
            </w:r>
          </w:p>
        </w:tc>
      </w:tr>
      <w:tr w:rsidR="0086297F" w:rsidRPr="00D9162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9162D" w:rsidRDefault="0086297F" w:rsidP="002665C6">
            <w:pPr>
              <w:jc w:val="center"/>
              <w:rPr>
                <w:rFonts w:ascii="Titillium Web" w:hAnsi="Titillium Web"/>
              </w:rPr>
            </w:pPr>
            <w:r w:rsidRPr="00D9162D">
              <w:rPr>
                <w:rFonts w:ascii="Titillium Web" w:hAnsi="Titillium Web"/>
              </w:rPr>
              <w:t>/</w:t>
            </w:r>
          </w:p>
        </w:tc>
      </w:tr>
      <w:tr w:rsidR="0086297F" w:rsidRPr="00D9162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2BB8D90" w14:textId="77777777" w:rsidR="0079780E" w:rsidRPr="00D9162D" w:rsidRDefault="005F1D00">
            <w:pPr>
              <w:rPr>
                <w:rFonts w:ascii="Titillium Web" w:hAnsi="Titillium Web"/>
                <w:i/>
                <w:iCs/>
              </w:rPr>
            </w:pPr>
            <w:r w:rsidRPr="00D9162D">
              <w:rPr>
                <w:rFonts w:ascii="Titillium Web" w:hAnsi="Titillium Web"/>
                <w:i/>
                <w:iCs/>
              </w:rPr>
              <w:t>167 Tomba a cremazione</w:t>
            </w:r>
          </w:p>
          <w:p w14:paraId="403278B2" w14:textId="77777777" w:rsidR="0079780E" w:rsidRPr="00D9162D" w:rsidRDefault="005F1D00">
            <w:pPr>
              <w:rPr>
                <w:rFonts w:ascii="Titillium Web" w:hAnsi="Titillium Web"/>
                <w:i/>
                <w:iCs/>
              </w:rPr>
            </w:pPr>
            <w:r w:rsidRPr="00D9162D">
              <w:rPr>
                <w:rFonts w:ascii="Titillium Web" w:hAnsi="Titillium Web"/>
                <w:i/>
                <w:iCs/>
              </w:rPr>
              <w:t>A m. 24 dal canale e a m. 20 dal limite S dello scavo, a m 1,00 di profondità poggiava:</w:t>
            </w:r>
          </w:p>
          <w:p w14:paraId="6B4D2505" w14:textId="77777777" w:rsidR="0079780E" w:rsidRPr="00D9162D" w:rsidRDefault="005F1D00">
            <w:pPr>
              <w:rPr>
                <w:rFonts w:ascii="Titillium Web" w:hAnsi="Titillium Web"/>
                <w:i/>
                <w:iCs/>
              </w:rPr>
            </w:pPr>
            <w:r w:rsidRPr="00D9162D">
              <w:rPr>
                <w:rFonts w:ascii="Titillium Web" w:hAnsi="Titillium Web"/>
                <w:i/>
                <w:iCs/>
              </w:rPr>
              <w:t>un dolio piuttosto grande, male cotto e completamente marcito.</w:t>
            </w:r>
          </w:p>
          <w:p w14:paraId="0992214A" w14:textId="77777777" w:rsidR="0079780E" w:rsidRPr="00D9162D" w:rsidRDefault="005F1D00">
            <w:pPr>
              <w:rPr>
                <w:rFonts w:ascii="Titillium Web" w:hAnsi="Titillium Web"/>
                <w:i/>
                <w:iCs/>
              </w:rPr>
            </w:pPr>
            <w:r w:rsidRPr="00D9162D">
              <w:rPr>
                <w:rFonts w:ascii="Titillium Web" w:hAnsi="Titillium Web"/>
                <w:i/>
                <w:iCs/>
              </w:rPr>
              <w:t>Non fu possibile raccoglierlo.</w:t>
            </w:r>
          </w:p>
          <w:p w14:paraId="4613B9B9" w14:textId="77777777" w:rsidR="0079780E" w:rsidRPr="00D9162D" w:rsidRDefault="005F1D00">
            <w:pPr>
              <w:rPr>
                <w:rFonts w:ascii="Titillium Web" w:hAnsi="Titillium Web"/>
                <w:i/>
                <w:iCs/>
              </w:rPr>
            </w:pPr>
            <w:r w:rsidRPr="00D9162D">
              <w:rPr>
                <w:rFonts w:ascii="Titillium Web" w:hAnsi="Titillium Web"/>
                <w:i/>
                <w:iCs/>
              </w:rPr>
              <w:t>Fra le ossa combuste che erano nell’interno del dolio si rinvennero:</w:t>
            </w:r>
          </w:p>
          <w:p w14:paraId="7DC8BDA1" w14:textId="77777777" w:rsidR="0079780E" w:rsidRPr="00D9162D" w:rsidRDefault="005F1D00">
            <w:pPr>
              <w:rPr>
                <w:rFonts w:ascii="Titillium Web" w:hAnsi="Titillium Web"/>
                <w:i/>
                <w:iCs/>
              </w:rPr>
            </w:pPr>
            <w:r w:rsidRPr="00D9162D">
              <w:rPr>
                <w:rFonts w:ascii="Titillium Web" w:hAnsi="Titillium Web"/>
                <w:i/>
                <w:iCs/>
              </w:rPr>
              <w:t>2 oinocoi a figure nere, leggermente frammentati. Uno rappresentante due donne sedute su scanni di fronte l’una all’altra, in mezzo fra loro rami di piante – conserva ancora traccie di pittura e colori sulla faccia – Di disegno strapazzato.</w:t>
            </w:r>
          </w:p>
          <w:p w14:paraId="191FB803" w14:textId="77777777" w:rsidR="0079780E" w:rsidRPr="00D9162D" w:rsidRDefault="005F1D00">
            <w:pPr>
              <w:rPr>
                <w:rFonts w:ascii="Titillium Web" w:hAnsi="Titillium Web"/>
                <w:i/>
                <w:iCs/>
              </w:rPr>
            </w:pPr>
            <w:r w:rsidRPr="00D9162D">
              <w:rPr>
                <w:rFonts w:ascii="Titillium Web" w:hAnsi="Titillium Web"/>
                <w:i/>
                <w:iCs/>
              </w:rPr>
              <w:t xml:space="preserve">Il secondo mostra un combattimento; a sin. un guerriero con lancia nella des. e scudo nella sin. </w:t>
            </w:r>
            <w:proofErr w:type="gramStart"/>
            <w:r w:rsidRPr="00D9162D">
              <w:rPr>
                <w:rFonts w:ascii="Titillium Web" w:hAnsi="Titillium Web"/>
                <w:i/>
                <w:iCs/>
              </w:rPr>
              <w:t>e</w:t>
            </w:r>
            <w:proofErr w:type="gramEnd"/>
            <w:r w:rsidRPr="00D9162D">
              <w:rPr>
                <w:rFonts w:ascii="Titillium Web" w:hAnsi="Titillium Web"/>
                <w:i/>
                <w:iCs/>
              </w:rPr>
              <w:t xml:space="preserve"> elmo in capo. La figura è di profilo, di fronte una donna (Athena?) con lancia e scudo rotondo (sul quale è dipinto a colore un serpente [ndr: disegno di un serpente]). Su questo vasetto ancora sono conservati traccie di pitture a colori (alto 0,21).</w:t>
            </w:r>
          </w:p>
          <w:p w14:paraId="70E2FB91" w14:textId="77777777" w:rsidR="0079780E" w:rsidRPr="00D9162D" w:rsidRDefault="005F1D00">
            <w:pPr>
              <w:rPr>
                <w:rFonts w:ascii="Titillium Web" w:hAnsi="Titillium Web"/>
                <w:i/>
                <w:iCs/>
              </w:rPr>
            </w:pPr>
            <w:r w:rsidRPr="00D9162D">
              <w:rPr>
                <w:rFonts w:ascii="Titillium Web" w:hAnsi="Titillium Web"/>
                <w:i/>
                <w:iCs/>
              </w:rPr>
              <w:t>Null’altro.</w:t>
            </w:r>
          </w:p>
        </w:tc>
      </w:tr>
      <w:tr w:rsidR="0086297F" w:rsidRPr="00D9162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9162D" w:rsidRDefault="0086297F" w:rsidP="002665C6">
            <w:pPr>
              <w:jc w:val="center"/>
              <w:rPr>
                <w:rFonts w:ascii="Titillium Web" w:hAnsi="Titillium Web"/>
              </w:rPr>
            </w:pPr>
            <w:r w:rsidRPr="00D9162D">
              <w:rPr>
                <w:rFonts w:ascii="Titillium Web" w:hAnsi="Titillium Web"/>
              </w:rPr>
              <w:t>Dentro il cinerario</w:t>
            </w:r>
          </w:p>
        </w:tc>
      </w:tr>
      <w:tr w:rsidR="0086297F" w:rsidRPr="00D9162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9162D" w:rsidRDefault="0086297F" w:rsidP="002665C6">
            <w:pPr>
              <w:jc w:val="center"/>
              <w:rPr>
                <w:rFonts w:ascii="Titillium Web" w:hAnsi="Titillium Web"/>
              </w:rPr>
            </w:pPr>
            <w:r w:rsidRPr="00D9162D">
              <w:rPr>
                <w:rFonts w:ascii="Titillium Web" w:hAnsi="Titillium Web"/>
              </w:rPr>
              <w:t>Non determinabile</w:t>
            </w:r>
          </w:p>
        </w:tc>
      </w:tr>
      <w:tr w:rsidR="0086297F" w:rsidRPr="00D9162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9162D" w:rsidRDefault="0086297F" w:rsidP="002665C6">
            <w:pPr>
              <w:jc w:val="center"/>
              <w:rPr>
                <w:rFonts w:ascii="Titillium Web" w:hAnsi="Titillium Web"/>
              </w:rPr>
            </w:pPr>
            <w:r w:rsidRPr="00D9162D">
              <w:rPr>
                <w:rFonts w:ascii="Titillium Web" w:hAnsi="Titillium Web"/>
              </w:rPr>
              <w:t>Non determinabile</w:t>
            </w:r>
          </w:p>
        </w:tc>
      </w:tr>
      <w:tr w:rsidR="0086297F" w:rsidRPr="00D9162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9162D" w:rsidRDefault="0086297F" w:rsidP="002665C6">
            <w:pPr>
              <w:jc w:val="center"/>
              <w:rPr>
                <w:rFonts w:ascii="Titillium Web" w:hAnsi="Titillium Web"/>
              </w:rPr>
            </w:pPr>
            <w:r w:rsidRPr="00D9162D">
              <w:rPr>
                <w:rFonts w:ascii="Titillium Web" w:hAnsi="Titillium Web"/>
              </w:rPr>
              <w:t>Non determinabile</w:t>
            </w:r>
          </w:p>
        </w:tc>
      </w:tr>
      <w:tr w:rsidR="0086297F" w:rsidRPr="00D9162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9162D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9162D">
              <w:rPr>
                <w:rFonts w:ascii="Titillium Web" w:hAnsi="Titillium Web"/>
                <w:smallCaps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2B308105" w:rsidR="0086297F" w:rsidRPr="00D9162D" w:rsidRDefault="00D9162D" w:rsidP="002665C6">
            <w:pPr>
              <w:jc w:val="center"/>
              <w:rPr>
                <w:rFonts w:ascii="Titillium Web" w:hAnsi="Titillium Web"/>
              </w:rPr>
            </w:pPr>
            <w:r w:rsidRPr="00D9162D">
              <w:rPr>
                <w:rFonts w:ascii="Titillium Web" w:hAnsi="Titillium Web"/>
                <w:smallCaps/>
              </w:rPr>
              <w:t>Trevisanello</w:t>
            </w:r>
            <w:r w:rsidRPr="00D9162D">
              <w:rPr>
                <w:rFonts w:ascii="Titillium Web" w:hAnsi="Titillium Web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9780E"/>
    <w:rsid w:val="0086297F"/>
    <w:rsid w:val="009E4922"/>
    <w:rsid w:val="00AB321D"/>
    <w:rsid w:val="00B165C4"/>
    <w:rsid w:val="00C21EE0"/>
    <w:rsid w:val="00C76127"/>
    <w:rsid w:val="00D900AB"/>
    <w:rsid w:val="00D9162D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2026-05-17T20:33:00Z</dcterms:modified>
</cp:coreProperties>
</file>