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17</w:t>
      </w:r>
    </w:p>
    <w:tbl>
      <w:tblPr>
        <w:tblStyle w:val="Grigliatabella"/>
        <w:tblW w:w="5000" w:type="pct"/>
        <w:jc w:val="center"/>
        <w:tblLook w:val="04A0" w:firstRow="1" w:lastRow="0" w:firstColumn="1" w:lastColumn="0" w:noHBand="0" w:noVBand="1"/>
      </w:tblPr>
      <w:tblGrid>
        <w:gridCol w:w="2990"/>
        <w:gridCol w:w="6070"/>
      </w:tblGrid>
      <w:tr w:rsidR="001B5504" w:rsidRPr="00AA5B6A" w14:paraId="7E897B51" w14:textId="77777777" w:rsidTr="54D14CD8">
        <w:trPr>
          <w:jc w:val="center"/>
        </w:trPr>
        <w:tc>
          <w:tcPr>
            <w:tcW w:w="1650" w:type="pct"/>
            <w:vAlign w:val="center"/>
          </w:tcPr>
          <w:p w14:paraId="42CC7784"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Anno di rinvenimento</w:t>
            </w:r>
          </w:p>
        </w:tc>
        <w:tc>
          <w:tcPr>
            <w:tcW w:w="3350" w:type="pct"/>
            <w:vAlign w:val="center"/>
          </w:tcPr>
          <w:p w14:paraId="3911E4F6" w14:textId="6BFD1686" w:rsidR="001B5504" w:rsidRPr="00AA5B6A" w:rsidRDefault="001B5504" w:rsidP="00BF212E">
            <w:pPr>
              <w:jc w:val="center"/>
              <w:rPr>
                <w:rFonts w:ascii="Titillium Web" w:hAnsi="Titillium Web"/>
                <w:szCs w:val="24"/>
              </w:rPr>
            </w:pPr>
            <w:r w:rsidRPr="00AA5B6A">
              <w:rPr>
                <w:rFonts w:ascii="Titillium Web" w:hAnsi="Titillium Web"/>
                <w:szCs w:val="24"/>
              </w:rPr>
              <w:t>1922</w:t>
            </w:r>
          </w:p>
        </w:tc>
      </w:tr>
      <w:tr w:rsidR="001B5504" w:rsidRPr="00AA5B6A" w14:paraId="4120B077" w14:textId="77777777" w:rsidTr="54D14CD8">
        <w:trPr>
          <w:jc w:val="center"/>
        </w:trPr>
        <w:tc>
          <w:tcPr>
            <w:tcW w:w="1650" w:type="pct"/>
            <w:vAlign w:val="center"/>
          </w:tcPr>
          <w:p w14:paraId="7B4CDD57"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Stato di conservazione della tomba</w:t>
            </w:r>
          </w:p>
        </w:tc>
        <w:tc>
          <w:tcPr>
            <w:tcW w:w="3350" w:type="pct"/>
            <w:vAlign w:val="center"/>
          </w:tcPr>
          <w:p w14:paraId="4ED449D1" w14:textId="67560E4F" w:rsidR="001B5504" w:rsidRPr="00AA5B6A" w:rsidRDefault="001B5504" w:rsidP="00BF212E">
            <w:pPr>
              <w:jc w:val="center"/>
              <w:rPr>
                <w:rFonts w:ascii="Titillium Web" w:hAnsi="Titillium Web"/>
                <w:szCs w:val="24"/>
              </w:rPr>
            </w:pPr>
            <w:r w:rsidRPr="00AA5B6A">
              <w:rPr>
                <w:rFonts w:ascii="Titillium Web" w:hAnsi="Titillium Web"/>
                <w:szCs w:val="24"/>
              </w:rPr>
              <w:t>Intatta</w:t>
            </w:r>
          </w:p>
        </w:tc>
      </w:tr>
      <w:tr w:rsidR="001B5504" w:rsidRPr="00AA5B6A" w14:paraId="7A448E9D" w14:textId="77777777" w:rsidTr="54D14CD8">
        <w:trPr>
          <w:jc w:val="center"/>
        </w:trPr>
        <w:tc>
          <w:tcPr>
            <w:tcW w:w="1650" w:type="pct"/>
            <w:vAlign w:val="center"/>
          </w:tcPr>
          <w:p w14:paraId="1E1EA165"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Rito di seppellimento</w:t>
            </w:r>
          </w:p>
        </w:tc>
        <w:tc>
          <w:tcPr>
            <w:tcW w:w="3350" w:type="pct"/>
            <w:vAlign w:val="center"/>
          </w:tcPr>
          <w:p w14:paraId="18226334" w14:textId="6B6FE1CF" w:rsidR="001B5504" w:rsidRPr="00AA5B6A" w:rsidRDefault="001B5504" w:rsidP="00BF212E">
            <w:pPr>
              <w:jc w:val="center"/>
              <w:rPr>
                <w:rFonts w:ascii="Titillium Web" w:hAnsi="Titillium Web"/>
                <w:szCs w:val="24"/>
              </w:rPr>
            </w:pPr>
            <w:r w:rsidRPr="00AA5B6A">
              <w:rPr>
                <w:rFonts w:ascii="Titillium Web" w:hAnsi="Titillium Web"/>
                <w:szCs w:val="24"/>
              </w:rPr>
              <w:t>Inumazione</w:t>
            </w:r>
          </w:p>
        </w:tc>
      </w:tr>
      <w:tr w:rsidR="001B5504" w:rsidRPr="00AA5B6A" w14:paraId="31276AA4" w14:textId="77777777" w:rsidTr="54D14CD8">
        <w:trPr>
          <w:jc w:val="center"/>
        </w:trPr>
        <w:tc>
          <w:tcPr>
            <w:tcW w:w="1650" w:type="pct"/>
            <w:vAlign w:val="center"/>
          </w:tcPr>
          <w:p w14:paraId="33201D3D"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Struttura tomba</w:t>
            </w:r>
          </w:p>
        </w:tc>
        <w:tc>
          <w:tcPr>
            <w:tcW w:w="3350" w:type="pct"/>
            <w:vAlign w:val="center"/>
          </w:tcPr>
          <w:p w14:paraId="720E7EE7" w14:textId="3E36BEBB" w:rsidR="001B5504" w:rsidRPr="00AA5B6A" w:rsidRDefault="001B5504" w:rsidP="00BF212E">
            <w:pPr>
              <w:jc w:val="center"/>
              <w:rPr>
                <w:rFonts w:ascii="Titillium Web" w:hAnsi="Titillium Web"/>
                <w:szCs w:val="24"/>
              </w:rPr>
            </w:pPr>
            <w:r w:rsidRPr="00AA5B6A">
              <w:rPr>
                <w:rFonts w:ascii="Titillium Web" w:hAnsi="Titillium Web"/>
                <w:szCs w:val="24"/>
              </w:rPr>
              <w:t>fossa semplice, forma non registrata</w:t>
            </w:r>
          </w:p>
        </w:tc>
      </w:tr>
      <w:tr w:rsidR="001B5504" w:rsidRPr="00AA5B6A" w14:paraId="07337DA2" w14:textId="77777777" w:rsidTr="54D14CD8">
        <w:trPr>
          <w:jc w:val="center"/>
        </w:trPr>
        <w:tc>
          <w:tcPr>
            <w:tcW w:w="1650" w:type="pct"/>
            <w:vAlign w:val="center"/>
          </w:tcPr>
          <w:p w14:paraId="5032DFD5"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Profondità dal piano di campagna</w:t>
            </w:r>
          </w:p>
        </w:tc>
        <w:tc>
          <w:tcPr>
            <w:tcW w:w="3350" w:type="pct"/>
            <w:vAlign w:val="center"/>
          </w:tcPr>
          <w:p w14:paraId="4AC1C871" w14:textId="553FE193" w:rsidR="001B5504" w:rsidRPr="00AA5B6A" w:rsidRDefault="001B5504" w:rsidP="00BF212E">
            <w:pPr>
              <w:jc w:val="center"/>
              <w:rPr>
                <w:rFonts w:ascii="Titillium Web" w:hAnsi="Titillium Web"/>
                <w:szCs w:val="24"/>
              </w:rPr>
            </w:pPr>
            <w:r w:rsidRPr="00AA5B6A">
              <w:rPr>
                <w:rFonts w:ascii="Titillium Web" w:hAnsi="Titillium Web"/>
                <w:szCs w:val="24"/>
              </w:rPr>
              <w:t>0,70 m</w:t>
            </w:r>
          </w:p>
        </w:tc>
      </w:tr>
      <w:tr w:rsidR="001B5504" w:rsidRPr="00AA5B6A" w14:paraId="16F9D287" w14:textId="77777777" w:rsidTr="54D14CD8">
        <w:trPr>
          <w:jc w:val="center"/>
        </w:trPr>
        <w:tc>
          <w:tcPr>
            <w:tcW w:w="1650" w:type="pct"/>
            <w:vAlign w:val="center"/>
          </w:tcPr>
          <w:p w14:paraId="5D675683"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Dimensioni della sepoltura</w:t>
            </w:r>
          </w:p>
        </w:tc>
        <w:tc>
          <w:tcPr>
            <w:tcW w:w="3350" w:type="pct"/>
            <w:vAlign w:val="center"/>
          </w:tcPr>
          <w:p w14:paraId="606ED54D" w14:textId="0EBDB5D9" w:rsidR="001B5504" w:rsidRPr="00AA5B6A" w:rsidRDefault="001B5504" w:rsidP="00BF212E">
            <w:pPr>
              <w:jc w:val="center"/>
              <w:rPr>
                <w:rFonts w:ascii="Titillium Web" w:hAnsi="Titillium Web"/>
                <w:szCs w:val="24"/>
              </w:rPr>
            </w:pPr>
            <w:r w:rsidRPr="00AA5B6A">
              <w:rPr>
                <w:rFonts w:ascii="Titillium Web" w:hAnsi="Titillium Web"/>
                <w:szCs w:val="24"/>
              </w:rPr>
              <w:t>Dimensioni non registrate</w:t>
            </w:r>
          </w:p>
        </w:tc>
      </w:tr>
      <w:tr w:rsidR="001B5504" w:rsidRPr="00AA5B6A" w14:paraId="3DCDE8C5" w14:textId="77777777" w:rsidTr="54D14CD8">
        <w:trPr>
          <w:jc w:val="center"/>
        </w:trPr>
        <w:tc>
          <w:tcPr>
            <w:tcW w:w="1650" w:type="pct"/>
            <w:vAlign w:val="center"/>
          </w:tcPr>
          <w:p w14:paraId="090E3992"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Orientamento dello scheletro</w:t>
            </w:r>
          </w:p>
        </w:tc>
        <w:tc>
          <w:tcPr>
            <w:tcW w:w="3350" w:type="pct"/>
            <w:vAlign w:val="center"/>
          </w:tcPr>
          <w:p w14:paraId="01C3562F" w14:textId="1EF5F976" w:rsidR="001B5504" w:rsidRPr="00AA5B6A" w:rsidRDefault="001B5504" w:rsidP="00BF212E">
            <w:pPr>
              <w:jc w:val="center"/>
              <w:rPr>
                <w:rFonts w:ascii="Titillium Web" w:hAnsi="Titillium Web"/>
                <w:szCs w:val="24"/>
              </w:rPr>
            </w:pPr>
            <w:r w:rsidRPr="00AA5B6A">
              <w:rPr>
                <w:rFonts w:ascii="Titillium Web" w:hAnsi="Titillium Web"/>
                <w:szCs w:val="24"/>
              </w:rPr>
              <w:t>E-W</w:t>
            </w:r>
          </w:p>
        </w:tc>
      </w:tr>
      <w:tr w:rsidR="001B5504" w:rsidRPr="00AA5B6A" w14:paraId="5978151F" w14:textId="77777777" w:rsidTr="54D14CD8">
        <w:trPr>
          <w:jc w:val="center"/>
        </w:trPr>
        <w:tc>
          <w:tcPr>
            <w:tcW w:w="1650" w:type="pct"/>
            <w:vAlign w:val="center"/>
          </w:tcPr>
          <w:p w14:paraId="1F67A10B"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Segnacolo</w:t>
            </w:r>
          </w:p>
        </w:tc>
        <w:tc>
          <w:tcPr>
            <w:tcW w:w="3350" w:type="pct"/>
            <w:vAlign w:val="center"/>
          </w:tcPr>
          <w:p w14:paraId="6599D472" w14:textId="11969A35" w:rsidR="001B5504" w:rsidRPr="00AA5B6A" w:rsidRDefault="00540849" w:rsidP="00BF212E">
            <w:pPr>
              <w:jc w:val="center"/>
              <w:rPr>
                <w:rFonts w:ascii="Titillium Web" w:hAnsi="Titillium Web"/>
                <w:szCs w:val="24"/>
              </w:rPr>
            </w:pPr>
            <w:r w:rsidRPr="00AA5B6A">
              <w:rPr>
                <w:rFonts w:ascii="Titillium Web" w:hAnsi="Titillium Web"/>
                <w:szCs w:val="24"/>
              </w:rPr>
              <w:t>/</w:t>
            </w:r>
          </w:p>
        </w:tc>
      </w:tr>
      <w:tr w:rsidR="001B5504" w:rsidRPr="00AA5B6A" w14:paraId="28E05F99" w14:textId="77777777" w:rsidTr="54D14CD8">
        <w:trPr>
          <w:jc w:val="center"/>
        </w:trPr>
        <w:tc>
          <w:tcPr>
            <w:tcW w:w="1650" w:type="pct"/>
            <w:vAlign w:val="center"/>
          </w:tcPr>
          <w:p w14:paraId="6ECF1BD4" w14:textId="77777777" w:rsidR="001B5504" w:rsidRPr="00AA5B6A" w:rsidRDefault="001B5504" w:rsidP="001F2833">
            <w:pPr>
              <w:spacing w:before="120" w:after="120"/>
              <w:jc w:val="center"/>
              <w:rPr>
                <w:rFonts w:ascii="Titillium Web" w:hAnsi="Titillium Web"/>
                <w:smallCaps/>
                <w:szCs w:val="24"/>
              </w:rPr>
            </w:pPr>
            <w:r w:rsidRPr="00AA5B6A">
              <w:rPr>
                <w:rFonts w:ascii="Titillium Web" w:hAnsi="Titillium Web"/>
                <w:smallCaps/>
                <w:szCs w:val="24"/>
              </w:rPr>
              <w:t>Giornale di scavo (GdS)</w:t>
            </w:r>
          </w:p>
        </w:tc>
        <w:tc>
          <w:tcPr>
            <w:tcW w:w="3350" w:type="pct"/>
            <w:vAlign w:val="center"/>
          </w:tcPr>
          <w:p w14:paraId="1A6B7E7E" w14:textId="34468CDC" w:rsidR="001B5504" w:rsidRPr="00AA5B6A" w:rsidRDefault="001B5504" w:rsidP="00BF212E">
            <w:pPr>
              <w:jc w:val="left"/>
              <w:rPr>
                <w:rFonts w:ascii="Titillium Web" w:hAnsi="Titillium Web"/>
                <w:i/>
                <w:iCs/>
                <w:szCs w:val="24"/>
              </w:rPr>
            </w:pPr>
            <w:r w:rsidRPr="00AA5B6A">
              <w:rPr>
                <w:rFonts w:ascii="Titillium Web" w:hAnsi="Titillium Web"/>
                <w:i/>
                <w:iCs/>
                <w:szCs w:val="24"/>
              </w:rPr>
              <w:t>2 maggio –</w:t>
            </w:r>
            <w:r w:rsidRPr="00AA5B6A">
              <w:rPr>
                <w:rFonts w:ascii="Titillium Web" w:hAnsi="Titillium Web"/>
                <w:i/>
                <w:iCs/>
                <w:szCs w:val="24"/>
              </w:rPr>
              <w:br/>
              <w:t>Tomba 17 a umazione –</w:t>
            </w:r>
            <w:r w:rsidRPr="00AA5B6A">
              <w:rPr>
                <w:rFonts w:ascii="Titillium Web" w:hAnsi="Titillium Web"/>
                <w:i/>
                <w:iCs/>
                <w:szCs w:val="24"/>
              </w:rPr>
              <w:br/>
              <w:t>A m. 2 a levante delle tombe 0, alla profondità di m. 0,70 si rinviene uno scheletro orientato da levante a ponente.</w:t>
            </w:r>
            <w:r w:rsidRPr="00AA5B6A">
              <w:rPr>
                <w:rFonts w:ascii="Titillium Web" w:hAnsi="Titillium Web"/>
                <w:i/>
                <w:iCs/>
                <w:szCs w:val="24"/>
              </w:rPr>
              <w:br/>
              <w:t>Presso il fianco destro dello scheletro si raccolsero:</w:t>
            </w:r>
            <w:r w:rsidRPr="00AA5B6A">
              <w:rPr>
                <w:rFonts w:ascii="Titillium Web" w:hAnsi="Titillium Web"/>
                <w:i/>
                <w:iCs/>
                <w:szCs w:val="24"/>
              </w:rPr>
              <w:br/>
              <w:t>2 oinochoai piccoli a vern. nera (uno frammentario)</w:t>
            </w:r>
            <w:r w:rsidRPr="00AA5B6A">
              <w:rPr>
                <w:rFonts w:ascii="Titillium Web" w:hAnsi="Titillium Web"/>
                <w:i/>
                <w:iCs/>
                <w:szCs w:val="24"/>
              </w:rPr>
              <w:br/>
              <w:t>1 lucignolo con manico staccato, a vern. nera.</w:t>
            </w:r>
            <w:r w:rsidRPr="00AA5B6A">
              <w:rPr>
                <w:rFonts w:ascii="Titillium Web" w:hAnsi="Titillium Web"/>
                <w:i/>
                <w:iCs/>
                <w:szCs w:val="24"/>
              </w:rPr>
              <w:br/>
              <w:t>1 skyphos a vern. nera, in frammenti.</w:t>
            </w:r>
            <w:r w:rsidRPr="00AA5B6A">
              <w:rPr>
                <w:rFonts w:ascii="Titillium Web" w:hAnsi="Titillium Web"/>
                <w:i/>
                <w:iCs/>
                <w:szCs w:val="24"/>
              </w:rPr>
              <w:br/>
              <w:t>2 scodelle di terra rossa locale, frammentarie</w:t>
            </w:r>
            <w:r w:rsidRPr="00AA5B6A">
              <w:rPr>
                <w:rFonts w:ascii="Titillium Web" w:hAnsi="Titillium Web"/>
                <w:i/>
                <w:iCs/>
                <w:szCs w:val="24"/>
              </w:rPr>
              <w:br/>
              <w:t>2 o 3 piattelli idem ...</w:t>
            </w:r>
          </w:p>
        </w:tc>
      </w:tr>
      <w:tr w:rsidR="001B5504" w:rsidRPr="00AA5B6A" w14:paraId="4CA65959" w14:textId="77777777" w:rsidTr="54D14CD8">
        <w:trPr>
          <w:jc w:val="center"/>
        </w:trPr>
        <w:tc>
          <w:tcPr>
            <w:tcW w:w="1650" w:type="pct"/>
            <w:vAlign w:val="center"/>
          </w:tcPr>
          <w:p w14:paraId="42C0306C"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Corredo</w:t>
            </w:r>
          </w:p>
        </w:tc>
        <w:tc>
          <w:tcPr>
            <w:tcW w:w="3350" w:type="pct"/>
            <w:vAlign w:val="center"/>
          </w:tcPr>
          <w:p w14:paraId="58DF5B0D" w14:textId="6995A97E" w:rsidR="001B5504" w:rsidRPr="00E13D09" w:rsidRDefault="2611A21A" w:rsidP="54D14CD8">
            <w:pPr>
              <w:jc w:val="center"/>
              <w:rPr>
                <w:rFonts w:ascii="Titillium Web" w:hAnsi="Titillium Web" w:cs="Times New Roman"/>
              </w:rPr>
            </w:pPr>
            <w:r w:rsidRPr="00E13D09">
              <w:rPr>
                <w:rFonts w:ascii="Titillium Web" w:hAnsi="Titillium Web" w:cs="Times New Roman"/>
              </w:rPr>
              <w:t>Il corredo era disposto lungo il fianco destro senza ulteriori specifiche. Lo scavatore raccolse vasi attici a v.n. (nn. 1-5) e vasi di produzione locale in ceramica depurata (nn. 6-13). L’askòs a v.n. è andato perduto (n. 3*), mentre risulta difficile determinare la pertinenza al corredo degli skyphoi attici (nn. 4-5) e del</w:t>
            </w:r>
            <w:r w:rsidR="6F984E3D" w:rsidRPr="00E13D09">
              <w:rPr>
                <w:rFonts w:ascii="Titillium Web" w:hAnsi="Titillium Web" w:cs="Times New Roman"/>
              </w:rPr>
              <w:t xml:space="preserve"> vasellame locale</w:t>
            </w:r>
            <w:r w:rsidRPr="00E13D09">
              <w:rPr>
                <w:rFonts w:ascii="Titillium Web" w:hAnsi="Titillium Web" w:cs="Times New Roman"/>
              </w:rPr>
              <w:t xml:space="preserve"> (nn. 6-13), poiché registrati in numero superiore rispetto all’elenco del GdS</w:t>
            </w:r>
            <w:r w:rsidR="7DAEC607" w:rsidRPr="00E13D09">
              <w:rPr>
                <w:rFonts w:ascii="Titillium Web" w:hAnsi="Titillium Web" w:cs="Times New Roman"/>
              </w:rPr>
              <w:t>.</w:t>
            </w:r>
          </w:p>
          <w:p w14:paraId="4728DFF2" w14:textId="529C4839" w:rsidR="00EC0ED4" w:rsidRPr="00E13D09" w:rsidRDefault="00EC0ED4" w:rsidP="00AA5B6A">
            <w:pPr>
              <w:jc w:val="center"/>
              <w:rPr>
                <w:rFonts w:ascii="Titillium Web" w:hAnsi="Titillium Web"/>
                <w:szCs w:val="24"/>
              </w:rPr>
            </w:pPr>
            <w:r w:rsidRPr="00E13D09">
              <w:rPr>
                <w:rFonts w:ascii="Titillium Web" w:hAnsi="Titillium Web"/>
                <w:szCs w:val="24"/>
              </w:rPr>
              <w:t>1. Oinochoe attica a bocca trilobata (IG 483; vernice nera)</w:t>
            </w:r>
          </w:p>
          <w:p w14:paraId="06241E82" w14:textId="3A38D30D" w:rsidR="00EC0ED4" w:rsidRPr="00E13D09" w:rsidRDefault="00EC0ED4" w:rsidP="00AA5B6A">
            <w:pPr>
              <w:jc w:val="center"/>
              <w:rPr>
                <w:rFonts w:ascii="Titillium Web" w:hAnsi="Titillium Web"/>
                <w:szCs w:val="24"/>
              </w:rPr>
            </w:pPr>
            <w:r w:rsidRPr="00E13D09">
              <w:rPr>
                <w:rFonts w:ascii="Titillium Web" w:hAnsi="Titillium Web"/>
                <w:szCs w:val="24"/>
              </w:rPr>
              <w:t>2. Oinochoe attica a bocca trilobata (IG 484; vernice nera)</w:t>
            </w:r>
          </w:p>
          <w:p w14:paraId="32B321AB" w14:textId="38170AAC" w:rsidR="00EC0ED4" w:rsidRPr="00E13D09" w:rsidRDefault="00EC0ED4" w:rsidP="00AA5B6A">
            <w:pPr>
              <w:jc w:val="center"/>
              <w:rPr>
                <w:rFonts w:ascii="Titillium Web" w:hAnsi="Titillium Web"/>
                <w:szCs w:val="24"/>
              </w:rPr>
            </w:pPr>
            <w:r w:rsidRPr="00E13D09">
              <w:rPr>
                <w:rFonts w:ascii="Titillium Web" w:hAnsi="Titillium Web"/>
                <w:szCs w:val="24"/>
              </w:rPr>
              <w:t>3</w:t>
            </w:r>
            <w:r w:rsidR="00AA5B6A" w:rsidRPr="00E13D09">
              <w:rPr>
                <w:rFonts w:ascii="Titillium Web" w:hAnsi="Titillium Web"/>
                <w:szCs w:val="24"/>
              </w:rPr>
              <w:t>*</w:t>
            </w:r>
            <w:r w:rsidRPr="00E13D09">
              <w:rPr>
                <w:rFonts w:ascii="Titillium Web" w:hAnsi="Titillium Web"/>
                <w:szCs w:val="24"/>
              </w:rPr>
              <w:t>. Askòs lenticolare attico (?) (IG 494; vernice nera)</w:t>
            </w:r>
          </w:p>
          <w:p w14:paraId="1D1F58B1" w14:textId="42649210" w:rsidR="00EC0ED4" w:rsidRPr="00E13D09" w:rsidRDefault="00AA5B6A" w:rsidP="00AA5B6A">
            <w:pPr>
              <w:jc w:val="center"/>
              <w:rPr>
                <w:rFonts w:ascii="Titillium Web" w:hAnsi="Titillium Web"/>
                <w:szCs w:val="24"/>
              </w:rPr>
            </w:pPr>
            <w:r w:rsidRPr="00E13D09">
              <w:rPr>
                <w:rFonts w:ascii="Titillium Web" w:hAnsi="Titillium Web"/>
                <w:szCs w:val="24"/>
              </w:rPr>
              <w:t xml:space="preserve">4. </w:t>
            </w:r>
            <w:r w:rsidR="00EC0ED4" w:rsidRPr="00E13D09">
              <w:rPr>
                <w:rFonts w:ascii="Titillium Web" w:hAnsi="Titillium Web"/>
                <w:szCs w:val="24"/>
              </w:rPr>
              <w:t>Skyphos attico (IG 492; vernice nera)</w:t>
            </w:r>
          </w:p>
          <w:p w14:paraId="569A4149" w14:textId="0C5F1E08" w:rsidR="00EC0ED4" w:rsidRPr="00E13D09" w:rsidRDefault="00AA5B6A" w:rsidP="00AA5B6A">
            <w:pPr>
              <w:jc w:val="center"/>
              <w:rPr>
                <w:rFonts w:ascii="Titillium Web" w:hAnsi="Titillium Web"/>
                <w:szCs w:val="24"/>
              </w:rPr>
            </w:pPr>
            <w:r w:rsidRPr="00E13D09">
              <w:rPr>
                <w:rFonts w:ascii="Titillium Web" w:hAnsi="Titillium Web"/>
                <w:szCs w:val="24"/>
              </w:rPr>
              <w:t xml:space="preserve">5. </w:t>
            </w:r>
            <w:r w:rsidR="00EC0ED4" w:rsidRPr="00E13D09">
              <w:rPr>
                <w:rFonts w:ascii="Titillium Web" w:hAnsi="Titillium Web"/>
                <w:szCs w:val="24"/>
              </w:rPr>
              <w:t>Skyphos attico (IG 493; vernice nera)</w:t>
            </w:r>
          </w:p>
          <w:p w14:paraId="76C77631" w14:textId="6ECF9935" w:rsidR="00EC0ED4" w:rsidRPr="00E13D09" w:rsidRDefault="00AA5B6A" w:rsidP="00AA5B6A">
            <w:pPr>
              <w:jc w:val="center"/>
              <w:rPr>
                <w:rFonts w:ascii="Titillium Web" w:hAnsi="Titillium Web"/>
                <w:szCs w:val="24"/>
              </w:rPr>
            </w:pPr>
            <w:r w:rsidRPr="00E13D09">
              <w:rPr>
                <w:rFonts w:ascii="Titillium Web" w:hAnsi="Titillium Web"/>
                <w:szCs w:val="24"/>
              </w:rPr>
              <w:t xml:space="preserve">6. </w:t>
            </w:r>
            <w:r w:rsidR="00EC0ED4" w:rsidRPr="00E13D09">
              <w:rPr>
                <w:rFonts w:ascii="Titillium Web" w:hAnsi="Titillium Web"/>
                <w:szCs w:val="24"/>
              </w:rPr>
              <w:t>Coppa di produzione locale (IG 485; ceramica depurata)</w:t>
            </w:r>
          </w:p>
          <w:p w14:paraId="5D0E2C7C" w14:textId="699073D6" w:rsidR="00EC0ED4" w:rsidRPr="00E13D09" w:rsidRDefault="00AA5B6A" w:rsidP="00AA5B6A">
            <w:pPr>
              <w:jc w:val="center"/>
              <w:rPr>
                <w:rFonts w:ascii="Titillium Web" w:hAnsi="Titillium Web"/>
                <w:szCs w:val="24"/>
              </w:rPr>
            </w:pPr>
            <w:r w:rsidRPr="00E13D09">
              <w:rPr>
                <w:rFonts w:ascii="Titillium Web" w:hAnsi="Titillium Web"/>
                <w:szCs w:val="24"/>
              </w:rPr>
              <w:t xml:space="preserve">7. </w:t>
            </w:r>
            <w:r w:rsidR="00EC0ED4" w:rsidRPr="00E13D09">
              <w:rPr>
                <w:rFonts w:ascii="Titillium Web" w:hAnsi="Titillium Web"/>
                <w:szCs w:val="24"/>
              </w:rPr>
              <w:t>Coppa di produzione locale (IG 496; ceramica depurata)</w:t>
            </w:r>
          </w:p>
          <w:p w14:paraId="03CD8677" w14:textId="46F9C970" w:rsidR="00EC0ED4" w:rsidRPr="00E13D09" w:rsidRDefault="00AA5B6A" w:rsidP="00AA5B6A">
            <w:pPr>
              <w:jc w:val="center"/>
              <w:rPr>
                <w:rFonts w:ascii="Titillium Web" w:hAnsi="Titillium Web"/>
                <w:szCs w:val="24"/>
              </w:rPr>
            </w:pPr>
            <w:r w:rsidRPr="00E13D09">
              <w:rPr>
                <w:rFonts w:ascii="Titillium Web" w:hAnsi="Titillium Web"/>
                <w:szCs w:val="24"/>
              </w:rPr>
              <w:lastRenderedPageBreak/>
              <w:t xml:space="preserve">8. </w:t>
            </w:r>
            <w:r w:rsidR="00EC0ED4" w:rsidRPr="00E13D09">
              <w:rPr>
                <w:rFonts w:ascii="Titillium Web" w:hAnsi="Titillium Web"/>
                <w:szCs w:val="24"/>
              </w:rPr>
              <w:t>Coppa di produzione locale (IG 15932; ceramica depurata)</w:t>
            </w:r>
          </w:p>
          <w:p w14:paraId="7EAC288B" w14:textId="7277CC85" w:rsidR="00EC0ED4" w:rsidRPr="00E13D09" w:rsidRDefault="00AA5B6A" w:rsidP="00AA5B6A">
            <w:pPr>
              <w:jc w:val="center"/>
              <w:rPr>
                <w:rFonts w:ascii="Titillium Web" w:hAnsi="Titillium Web"/>
                <w:szCs w:val="24"/>
              </w:rPr>
            </w:pPr>
            <w:r w:rsidRPr="00E13D09">
              <w:rPr>
                <w:rFonts w:ascii="Titillium Web" w:hAnsi="Titillium Web"/>
                <w:szCs w:val="24"/>
              </w:rPr>
              <w:t xml:space="preserve">9. </w:t>
            </w:r>
            <w:r w:rsidR="00EC0ED4" w:rsidRPr="00E13D09">
              <w:rPr>
                <w:rFonts w:ascii="Titillium Web" w:hAnsi="Titillium Web"/>
                <w:szCs w:val="24"/>
              </w:rPr>
              <w:t>Coppa di produzione locale (IG 487; ceramica depurata)</w:t>
            </w:r>
          </w:p>
          <w:p w14:paraId="2D9C47DF" w14:textId="1B562395" w:rsidR="00EC0ED4" w:rsidRPr="00E13D09" w:rsidRDefault="00AA5B6A" w:rsidP="00AA5B6A">
            <w:pPr>
              <w:jc w:val="center"/>
              <w:rPr>
                <w:rFonts w:ascii="Titillium Web" w:hAnsi="Titillium Web"/>
                <w:szCs w:val="24"/>
              </w:rPr>
            </w:pPr>
            <w:r w:rsidRPr="00E13D09">
              <w:rPr>
                <w:rFonts w:ascii="Titillium Web" w:hAnsi="Titillium Web"/>
                <w:szCs w:val="24"/>
              </w:rPr>
              <w:t xml:space="preserve">10. </w:t>
            </w:r>
            <w:r w:rsidR="00EC0ED4" w:rsidRPr="00E13D09">
              <w:rPr>
                <w:rFonts w:ascii="Titillium Web" w:hAnsi="Titillium Web"/>
                <w:szCs w:val="24"/>
              </w:rPr>
              <w:t>Coppa di produzione locale (IG 15933; ceramica depurata)</w:t>
            </w:r>
          </w:p>
          <w:p w14:paraId="5F7DF4BA" w14:textId="6CC7202A" w:rsidR="00EC0ED4" w:rsidRPr="00E13D09" w:rsidRDefault="00AA5B6A" w:rsidP="00AA5B6A">
            <w:pPr>
              <w:jc w:val="center"/>
              <w:rPr>
                <w:rFonts w:ascii="Titillium Web" w:hAnsi="Titillium Web"/>
                <w:szCs w:val="24"/>
              </w:rPr>
            </w:pPr>
            <w:r w:rsidRPr="00E13D09">
              <w:rPr>
                <w:rFonts w:ascii="Titillium Web" w:hAnsi="Titillium Web"/>
                <w:szCs w:val="24"/>
              </w:rPr>
              <w:t xml:space="preserve">11. </w:t>
            </w:r>
            <w:r w:rsidR="00EC0ED4" w:rsidRPr="00E13D09">
              <w:rPr>
                <w:rFonts w:ascii="Titillium Web" w:hAnsi="Titillium Web"/>
                <w:szCs w:val="24"/>
              </w:rPr>
              <w:t>Piatto di produzione locale (IG 488; ceramica depurata)</w:t>
            </w:r>
          </w:p>
          <w:p w14:paraId="7E225EAE" w14:textId="48DD5B54" w:rsidR="00EC0ED4" w:rsidRPr="00E13D09" w:rsidRDefault="00AA5B6A" w:rsidP="00AA5B6A">
            <w:pPr>
              <w:jc w:val="center"/>
              <w:rPr>
                <w:rFonts w:ascii="Titillium Web" w:hAnsi="Titillium Web"/>
                <w:szCs w:val="24"/>
              </w:rPr>
            </w:pPr>
            <w:r w:rsidRPr="00E13D09">
              <w:rPr>
                <w:rFonts w:ascii="Titillium Web" w:hAnsi="Titillium Web"/>
                <w:szCs w:val="24"/>
              </w:rPr>
              <w:t xml:space="preserve">12. </w:t>
            </w:r>
            <w:r w:rsidR="00EC0ED4" w:rsidRPr="00E13D09">
              <w:rPr>
                <w:rFonts w:ascii="Titillium Web" w:hAnsi="Titillium Web"/>
                <w:szCs w:val="24"/>
              </w:rPr>
              <w:t>Piatto di produzione locale (IG 489; ceramica depurata)</w:t>
            </w:r>
          </w:p>
          <w:p w14:paraId="5EE32F9C" w14:textId="0940AF7F" w:rsidR="00EC0ED4" w:rsidRPr="00E13D09" w:rsidRDefault="00AA5B6A" w:rsidP="00AA5B6A">
            <w:pPr>
              <w:jc w:val="center"/>
              <w:rPr>
                <w:rFonts w:ascii="Titillium Web" w:hAnsi="Titillium Web"/>
                <w:szCs w:val="24"/>
              </w:rPr>
            </w:pPr>
            <w:r w:rsidRPr="00E13D09">
              <w:rPr>
                <w:rFonts w:ascii="Titillium Web" w:hAnsi="Titillium Web"/>
                <w:szCs w:val="24"/>
              </w:rPr>
              <w:t xml:space="preserve">13. </w:t>
            </w:r>
            <w:r w:rsidR="00EC0ED4" w:rsidRPr="00E13D09">
              <w:rPr>
                <w:rFonts w:ascii="Titillium Web" w:hAnsi="Titillium Web"/>
                <w:szCs w:val="24"/>
              </w:rPr>
              <w:t>Piatto di produzione locale (IG 490; ceramica depurata)</w:t>
            </w:r>
          </w:p>
        </w:tc>
      </w:tr>
      <w:tr w:rsidR="001B5504" w:rsidRPr="00AA5B6A" w14:paraId="520D9732" w14:textId="77777777" w:rsidTr="54D14CD8">
        <w:trPr>
          <w:jc w:val="center"/>
        </w:trPr>
        <w:tc>
          <w:tcPr>
            <w:tcW w:w="1650" w:type="pct"/>
            <w:vAlign w:val="center"/>
          </w:tcPr>
          <w:p w14:paraId="24BE97D5"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lastRenderedPageBreak/>
              <w:t>Posizione del corredo</w:t>
            </w:r>
          </w:p>
        </w:tc>
        <w:tc>
          <w:tcPr>
            <w:tcW w:w="3350" w:type="pct"/>
            <w:vAlign w:val="center"/>
          </w:tcPr>
          <w:p w14:paraId="3ED37A74" w14:textId="6C87C00C" w:rsidR="001B5504" w:rsidRPr="00AA5B6A" w:rsidRDefault="00AA5B6A" w:rsidP="00BF212E">
            <w:pPr>
              <w:jc w:val="center"/>
              <w:rPr>
                <w:rFonts w:ascii="Titillium Web" w:hAnsi="Titillium Web"/>
                <w:szCs w:val="24"/>
              </w:rPr>
            </w:pPr>
            <w:r w:rsidRPr="00AA5B6A">
              <w:rPr>
                <w:rFonts w:ascii="Titillium Web" w:hAnsi="Titillium Web"/>
                <w:szCs w:val="24"/>
              </w:rPr>
              <w:t>Fianco destro</w:t>
            </w:r>
          </w:p>
        </w:tc>
      </w:tr>
      <w:tr w:rsidR="001B5504" w:rsidRPr="00AA5B6A" w14:paraId="05ACB002" w14:textId="77777777" w:rsidTr="54D14CD8">
        <w:trPr>
          <w:jc w:val="center"/>
        </w:trPr>
        <w:tc>
          <w:tcPr>
            <w:tcW w:w="1650" w:type="pct"/>
            <w:vAlign w:val="center"/>
          </w:tcPr>
          <w:p w14:paraId="6E6E37F2"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Stato di conservazione e affidabilità del corredo</w:t>
            </w:r>
          </w:p>
        </w:tc>
        <w:tc>
          <w:tcPr>
            <w:tcW w:w="3350" w:type="pct"/>
            <w:vAlign w:val="center"/>
          </w:tcPr>
          <w:p w14:paraId="66E8A271" w14:textId="08B19B48" w:rsidR="001B5504" w:rsidRPr="00AA5B6A" w:rsidRDefault="00540849" w:rsidP="00540849">
            <w:pPr>
              <w:jc w:val="center"/>
              <w:rPr>
                <w:rFonts w:ascii="Titillium Web" w:hAnsi="Titillium Web"/>
                <w:szCs w:val="24"/>
              </w:rPr>
            </w:pPr>
            <w:r w:rsidRPr="00AA5B6A">
              <w:rPr>
                <w:rFonts w:ascii="Titillium Web" w:hAnsi="Titillium Web" w:cs="Times New Roman"/>
                <w:szCs w:val="24"/>
              </w:rPr>
              <w:t xml:space="preserve">Degno di nota è lo stato di conservazione frammentario dell’intero corredo, nonostante la sepoltura sia stata ritrovata intatta. Risultano attribuiti alla tomba in un secondo momento un paio di coppe ed un piatto di produzione locale ed un </w:t>
            </w:r>
            <w:r w:rsidRPr="00AA5B6A">
              <w:rPr>
                <w:rFonts w:ascii="Titillium Web" w:hAnsi="Titillium Web" w:cs="Times New Roman"/>
                <w:i/>
                <w:iCs/>
                <w:szCs w:val="24"/>
              </w:rPr>
              <w:t>aes-rude</w:t>
            </w:r>
          </w:p>
        </w:tc>
      </w:tr>
      <w:tr w:rsidR="001B5504" w:rsidRPr="00AA5B6A" w14:paraId="6E424069" w14:textId="77777777" w:rsidTr="54D14CD8">
        <w:trPr>
          <w:jc w:val="center"/>
        </w:trPr>
        <w:tc>
          <w:tcPr>
            <w:tcW w:w="1650" w:type="pct"/>
            <w:vAlign w:val="center"/>
          </w:tcPr>
          <w:p w14:paraId="4CE8DFDE"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Genere (legato all’analisi del corredo)</w:t>
            </w:r>
          </w:p>
        </w:tc>
        <w:tc>
          <w:tcPr>
            <w:tcW w:w="3350" w:type="pct"/>
            <w:vAlign w:val="center"/>
          </w:tcPr>
          <w:p w14:paraId="04E55D8B" w14:textId="15D5D226" w:rsidR="001B5504" w:rsidRPr="00AA5B6A" w:rsidRDefault="001B5504" w:rsidP="00BF212E">
            <w:pPr>
              <w:jc w:val="center"/>
              <w:rPr>
                <w:rFonts w:ascii="Titillium Web" w:hAnsi="Titillium Web"/>
                <w:szCs w:val="24"/>
              </w:rPr>
            </w:pPr>
            <w:r w:rsidRPr="00AA5B6A">
              <w:rPr>
                <w:rFonts w:ascii="Titillium Web" w:hAnsi="Titillium Web"/>
                <w:szCs w:val="24"/>
              </w:rPr>
              <w:t>Non determinabile</w:t>
            </w:r>
          </w:p>
        </w:tc>
      </w:tr>
      <w:tr w:rsidR="001B5504" w:rsidRPr="00AA5B6A" w14:paraId="7C1BF645" w14:textId="77777777" w:rsidTr="54D14CD8">
        <w:trPr>
          <w:jc w:val="center"/>
        </w:trPr>
        <w:tc>
          <w:tcPr>
            <w:tcW w:w="1650" w:type="pct"/>
            <w:vAlign w:val="center"/>
          </w:tcPr>
          <w:p w14:paraId="7EADEEB5"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Sesso (legato alle analisi antropologiche)</w:t>
            </w:r>
          </w:p>
        </w:tc>
        <w:tc>
          <w:tcPr>
            <w:tcW w:w="3350" w:type="pct"/>
            <w:vAlign w:val="center"/>
          </w:tcPr>
          <w:p w14:paraId="5D17FB99" w14:textId="46EBB367" w:rsidR="001B5504" w:rsidRPr="00AA5B6A" w:rsidRDefault="001B5504" w:rsidP="00BF212E">
            <w:pPr>
              <w:jc w:val="center"/>
              <w:rPr>
                <w:rFonts w:ascii="Titillium Web" w:hAnsi="Titillium Web"/>
                <w:szCs w:val="24"/>
              </w:rPr>
            </w:pPr>
            <w:r w:rsidRPr="00AA5B6A">
              <w:rPr>
                <w:rFonts w:ascii="Titillium Web" w:hAnsi="Titillium Web"/>
                <w:szCs w:val="24"/>
              </w:rPr>
              <w:t>Non determinabile</w:t>
            </w:r>
          </w:p>
        </w:tc>
      </w:tr>
      <w:tr w:rsidR="001B5504" w:rsidRPr="00AA5B6A" w14:paraId="498C4222" w14:textId="77777777" w:rsidTr="54D14CD8">
        <w:trPr>
          <w:jc w:val="center"/>
        </w:trPr>
        <w:tc>
          <w:tcPr>
            <w:tcW w:w="1650" w:type="pct"/>
            <w:vAlign w:val="center"/>
          </w:tcPr>
          <w:p w14:paraId="57C39F2A"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Classi di età</w:t>
            </w:r>
          </w:p>
        </w:tc>
        <w:tc>
          <w:tcPr>
            <w:tcW w:w="3350" w:type="pct"/>
            <w:vAlign w:val="center"/>
          </w:tcPr>
          <w:p w14:paraId="3FA8CB4E" w14:textId="5B4E47B7" w:rsidR="001B5504" w:rsidRPr="00AA5B6A" w:rsidRDefault="001B5504" w:rsidP="00BF212E">
            <w:pPr>
              <w:jc w:val="center"/>
              <w:rPr>
                <w:rFonts w:ascii="Titillium Web" w:hAnsi="Titillium Web"/>
                <w:szCs w:val="24"/>
              </w:rPr>
            </w:pPr>
            <w:r w:rsidRPr="00AA5B6A">
              <w:rPr>
                <w:rFonts w:ascii="Titillium Web" w:hAnsi="Titillium Web"/>
                <w:szCs w:val="24"/>
              </w:rPr>
              <w:t>Non determinabile</w:t>
            </w:r>
          </w:p>
        </w:tc>
      </w:tr>
      <w:tr w:rsidR="001B5504" w:rsidRPr="00AA5B6A" w14:paraId="698056B7" w14:textId="77777777" w:rsidTr="54D14CD8">
        <w:trPr>
          <w:jc w:val="center"/>
        </w:trPr>
        <w:tc>
          <w:tcPr>
            <w:tcW w:w="1650" w:type="pct"/>
            <w:vAlign w:val="center"/>
          </w:tcPr>
          <w:p w14:paraId="225E12C1"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Cronologia</w:t>
            </w:r>
          </w:p>
        </w:tc>
        <w:tc>
          <w:tcPr>
            <w:tcW w:w="3350" w:type="pct"/>
            <w:vAlign w:val="center"/>
          </w:tcPr>
          <w:p w14:paraId="440AB2F6" w14:textId="65221464" w:rsidR="001B5504" w:rsidRPr="00AA5B6A" w:rsidRDefault="001B5504" w:rsidP="00BF212E">
            <w:pPr>
              <w:jc w:val="center"/>
              <w:rPr>
                <w:rFonts w:ascii="Titillium Web" w:hAnsi="Titillium Web"/>
                <w:szCs w:val="24"/>
              </w:rPr>
            </w:pPr>
            <w:r w:rsidRPr="00AA5B6A">
              <w:rPr>
                <w:rFonts w:ascii="Titillium Web" w:hAnsi="Titillium Web"/>
                <w:szCs w:val="24"/>
              </w:rPr>
              <w:t>Fine V sec. a.C.</w:t>
            </w:r>
          </w:p>
        </w:tc>
      </w:tr>
      <w:tr w:rsidR="001B5504" w:rsidRPr="00AA5B6A" w14:paraId="3105DEE4" w14:textId="77777777" w:rsidTr="54D14CD8">
        <w:trPr>
          <w:jc w:val="center"/>
        </w:trPr>
        <w:tc>
          <w:tcPr>
            <w:tcW w:w="1650" w:type="pct"/>
            <w:vAlign w:val="center"/>
          </w:tcPr>
          <w:p w14:paraId="2DF8B210"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Bibliografia (della tomba)</w:t>
            </w:r>
          </w:p>
        </w:tc>
        <w:tc>
          <w:tcPr>
            <w:tcW w:w="3350" w:type="pct"/>
            <w:vAlign w:val="center"/>
          </w:tcPr>
          <w:p w14:paraId="38D3D101" w14:textId="210D6437" w:rsidR="001B5504" w:rsidRPr="00AA5B6A" w:rsidRDefault="00E13D09" w:rsidP="00BF212E">
            <w:pPr>
              <w:jc w:val="center"/>
              <w:rPr>
                <w:rFonts w:ascii="Titillium Web" w:hAnsi="Titillium Web"/>
                <w:szCs w:val="24"/>
              </w:rPr>
            </w:pPr>
            <w:r>
              <w:rPr>
                <w:rFonts w:ascii="Titillium Web" w:hAnsi="Titillium Web"/>
                <w:szCs w:val="24"/>
              </w:rPr>
              <w:t>/</w:t>
            </w:r>
          </w:p>
        </w:tc>
      </w:tr>
      <w:tr w:rsidR="001B5504" w:rsidRPr="00AA5B6A" w14:paraId="6887A6E3" w14:textId="77777777" w:rsidTr="54D14CD8">
        <w:trPr>
          <w:jc w:val="center"/>
        </w:trPr>
        <w:tc>
          <w:tcPr>
            <w:tcW w:w="1650" w:type="pct"/>
            <w:vAlign w:val="center"/>
          </w:tcPr>
          <w:p w14:paraId="4944AE43" w14:textId="77777777" w:rsidR="001B5504" w:rsidRPr="00AA5B6A" w:rsidRDefault="001B5504" w:rsidP="00BF212E">
            <w:pPr>
              <w:jc w:val="center"/>
              <w:rPr>
                <w:rFonts w:ascii="Titillium Web" w:hAnsi="Titillium Web"/>
                <w:smallCaps/>
                <w:szCs w:val="24"/>
              </w:rPr>
            </w:pPr>
            <w:r w:rsidRPr="00AA5B6A">
              <w:rPr>
                <w:rFonts w:ascii="Titillium Web" w:hAnsi="Titillium Web"/>
                <w:smallCaps/>
                <w:szCs w:val="24"/>
              </w:rPr>
              <w:t>Link alla pubblicazione</w:t>
            </w:r>
          </w:p>
        </w:tc>
        <w:tc>
          <w:tcPr>
            <w:tcW w:w="3350" w:type="pct"/>
            <w:vAlign w:val="center"/>
          </w:tcPr>
          <w:p w14:paraId="6ADE2D95" w14:textId="5EBDA977" w:rsidR="001B5504" w:rsidRPr="00AA5B6A"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1230C8"/>
    <w:rsid w:val="001B5504"/>
    <w:rsid w:val="001F2833"/>
    <w:rsid w:val="0029024B"/>
    <w:rsid w:val="002977D7"/>
    <w:rsid w:val="002F1500"/>
    <w:rsid w:val="00472AF4"/>
    <w:rsid w:val="00481EE1"/>
    <w:rsid w:val="00540849"/>
    <w:rsid w:val="005B5AFF"/>
    <w:rsid w:val="0068458A"/>
    <w:rsid w:val="006B05C5"/>
    <w:rsid w:val="00710B38"/>
    <w:rsid w:val="007145BC"/>
    <w:rsid w:val="007D54CD"/>
    <w:rsid w:val="00942E70"/>
    <w:rsid w:val="00943EAC"/>
    <w:rsid w:val="00950348"/>
    <w:rsid w:val="00975CA9"/>
    <w:rsid w:val="00997946"/>
    <w:rsid w:val="009E4922"/>
    <w:rsid w:val="00A52A70"/>
    <w:rsid w:val="00AA5B6A"/>
    <w:rsid w:val="00B165C4"/>
    <w:rsid w:val="00B86B2D"/>
    <w:rsid w:val="00BE2CB2"/>
    <w:rsid w:val="00BE63CC"/>
    <w:rsid w:val="00BF212E"/>
    <w:rsid w:val="00C21EE0"/>
    <w:rsid w:val="00C30F5C"/>
    <w:rsid w:val="00CC46E5"/>
    <w:rsid w:val="00D54723"/>
    <w:rsid w:val="00DB1668"/>
    <w:rsid w:val="00E0524C"/>
    <w:rsid w:val="00E13D09"/>
    <w:rsid w:val="00EC0ED4"/>
    <w:rsid w:val="2611A21A"/>
    <w:rsid w:val="54D14CD8"/>
    <w:rsid w:val="6F984E3D"/>
    <w:rsid w:val="7DAEC6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16</cp:revision>
  <dcterms:created xsi:type="dcterms:W3CDTF">2026-04-28T14:33:00Z</dcterms:created>
  <dcterms:modified xsi:type="dcterms:W3CDTF">2026-05-18T08:00:00Z</dcterms:modified>
</cp:coreProperties>
</file>