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1AE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3E1AE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46539CFD" w:rsidR="0086297F" w:rsidRPr="003E1AED" w:rsidRDefault="00002C3A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</w:t>
            </w:r>
            <w:r w:rsidR="0086297F" w:rsidRPr="003E1AED">
              <w:rPr>
                <w:rFonts w:ascii="Titillium Web" w:hAnsi="Titillium Web"/>
                <w:szCs w:val="24"/>
              </w:rPr>
              <w:t>convolta</w:t>
            </w:r>
          </w:p>
        </w:tc>
      </w:tr>
      <w:tr w:rsidR="0086297F" w:rsidRPr="003E1AE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E1AE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E1AE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1,07 m</w:t>
            </w:r>
          </w:p>
        </w:tc>
      </w:tr>
      <w:tr w:rsidR="0086297F" w:rsidRPr="003E1AE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1AE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1AE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1AE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A98E48" w14:textId="77777777" w:rsidR="005D5C36" w:rsidRPr="003E1AED" w:rsidRDefault="00B84C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AED">
              <w:rPr>
                <w:rFonts w:ascii="Titillium Web" w:hAnsi="Titillium Web"/>
                <w:i/>
                <w:iCs/>
                <w:szCs w:val="24"/>
              </w:rPr>
              <w:t>179 Tomba a umazione (sconvolta)</w:t>
            </w:r>
          </w:p>
          <w:p w14:paraId="42C443BC" w14:textId="77777777" w:rsidR="005D5C36" w:rsidRPr="003E1AED" w:rsidRDefault="00B84C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AED">
              <w:rPr>
                <w:rFonts w:ascii="Titillium Web" w:hAnsi="Titillium Web"/>
                <w:i/>
                <w:iCs/>
                <w:szCs w:val="24"/>
              </w:rPr>
              <w:t>A m. 0,60 a lev. del precedente e alla stessa profondità poggiava un mucchietto di ossa umane nel cui centro era un cranio.</w:t>
            </w:r>
          </w:p>
          <w:p w14:paraId="7E676C7E" w14:textId="77777777" w:rsidR="005D5C36" w:rsidRPr="003E1AED" w:rsidRDefault="00B84C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AED">
              <w:rPr>
                <w:rFonts w:ascii="Titillium Web" w:hAnsi="Titillium Web"/>
                <w:i/>
                <w:iCs/>
                <w:szCs w:val="24"/>
              </w:rPr>
              <w:t>Nessun oggetto.</w:t>
            </w:r>
          </w:p>
        </w:tc>
      </w:tr>
      <w:tr w:rsidR="0086297F" w:rsidRPr="003E1AE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E1AE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1AE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1AE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1AE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1AE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1AE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AE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BA1EE0" w14:textId="77777777" w:rsidR="005D5C36" w:rsidRPr="003E1AED" w:rsidRDefault="00B84CC7" w:rsidP="003E1AED">
            <w:pPr>
              <w:jc w:val="center"/>
              <w:rPr>
                <w:rFonts w:ascii="Titillium Web" w:hAnsi="Titillium Web"/>
                <w:szCs w:val="24"/>
              </w:rPr>
            </w:pPr>
            <w:r w:rsidRPr="003E1AED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E1AED">
              <w:rPr>
                <w:rFonts w:ascii="Titillium Web" w:eastAsia="Titillium" w:hAnsi="Titillium Web" w:cs="Titillium"/>
                <w:szCs w:val="24"/>
              </w:rPr>
              <w:t xml:space="preserve"> 1924, p. 294, nota 3, p. 295; </w:t>
            </w:r>
            <w:r w:rsidRPr="003E1AE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E1AE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2C3A"/>
    <w:rsid w:val="00042C80"/>
    <w:rsid w:val="000D72F4"/>
    <w:rsid w:val="001C17CC"/>
    <w:rsid w:val="002977D7"/>
    <w:rsid w:val="003E1AED"/>
    <w:rsid w:val="00472AF4"/>
    <w:rsid w:val="00551AF8"/>
    <w:rsid w:val="005B5AFF"/>
    <w:rsid w:val="005D5C36"/>
    <w:rsid w:val="006162A4"/>
    <w:rsid w:val="006346F7"/>
    <w:rsid w:val="006D6EFB"/>
    <w:rsid w:val="007145BC"/>
    <w:rsid w:val="0086297F"/>
    <w:rsid w:val="009E4922"/>
    <w:rsid w:val="00AB321D"/>
    <w:rsid w:val="00B165C4"/>
    <w:rsid w:val="00BF6442"/>
    <w:rsid w:val="00C21EE0"/>
    <w:rsid w:val="00D900AB"/>
    <w:rsid w:val="00D936E8"/>
    <w:rsid w:val="00DF413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2026-05-17T20:39:00Z</dcterms:modified>
</cp:coreProperties>
</file>