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195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F4F8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F4F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4F8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F4F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4F89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2F4F8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F4F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4F8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F4F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4F8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F4F8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F4F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4F8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F4F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4F8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2F4F8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F4F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4F8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F4F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4F8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2F4F8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F4F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4F8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F4F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4F89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2F4F8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F4F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4F8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F4F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4F8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F4F8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F4F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4F8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F4F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4F8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2F4F8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F4F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4F8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F4F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4F8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F4F8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F4F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4F8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EE5FEF0" w14:textId="77777777" w:rsidR="004A3264" w:rsidRPr="002F4F89" w:rsidRDefault="00E129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4F89">
              <w:rPr>
                <w:rFonts w:ascii="Titillium Web" w:hAnsi="Titillium Web"/>
                <w:i/>
                <w:iCs/>
                <w:szCs w:val="24"/>
              </w:rPr>
              <w:t>195 Tomba a umazione</w:t>
            </w:r>
          </w:p>
          <w:p w14:paraId="087238BF" w14:textId="77777777" w:rsidR="004A3264" w:rsidRPr="002F4F89" w:rsidRDefault="00E129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4F89">
              <w:rPr>
                <w:rFonts w:ascii="Titillium Web" w:hAnsi="Titillium Web"/>
                <w:i/>
                <w:iCs/>
                <w:szCs w:val="24"/>
              </w:rPr>
              <w:t>A m. 1,60 a Sud del 194, a m. 0,90 poggiava uno scheletro orientato da NNO – a SSE.</w:t>
            </w:r>
          </w:p>
          <w:p w14:paraId="20F7BF18" w14:textId="77777777" w:rsidR="004A3264" w:rsidRPr="002F4F89" w:rsidRDefault="00E129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4F89">
              <w:rPr>
                <w:rFonts w:ascii="Titillium Web" w:hAnsi="Titillium Web"/>
                <w:i/>
                <w:iCs/>
                <w:szCs w:val="24"/>
              </w:rPr>
              <w:t>Sul petto aveva una conchiglia comune</w:t>
            </w:r>
          </w:p>
          <w:p w14:paraId="5B6ACF0A" w14:textId="77777777" w:rsidR="004A3264" w:rsidRPr="002F4F89" w:rsidRDefault="00E129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4F89">
              <w:rPr>
                <w:rFonts w:ascii="Titillium Web" w:hAnsi="Titillium Web"/>
                <w:i/>
                <w:iCs/>
                <w:szCs w:val="24"/>
              </w:rPr>
              <w:t>e un oggetto (di piombo) che non si comprende se è una fibula o un oggetto per toilette.</w:t>
            </w:r>
          </w:p>
          <w:p w14:paraId="2323D0AA" w14:textId="02E088B0" w:rsidR="004A3264" w:rsidRPr="002F4F89" w:rsidRDefault="00E1299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F4F89">
              <w:rPr>
                <w:rFonts w:ascii="Titillium Web" w:hAnsi="Titillium Web"/>
                <w:i/>
                <w:iCs/>
                <w:szCs w:val="24"/>
              </w:rPr>
              <w:t>Null’altro –</w:t>
            </w:r>
          </w:p>
        </w:tc>
      </w:tr>
      <w:tr w:rsidR="0086297F" w:rsidRPr="002F4F8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F4F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4F8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F4F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4F89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2F4F8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F4F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4F8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F4F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4F8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F4F8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F4F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4F8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F4F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4F8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F4F8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F4F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4F8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F4F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F4F8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F4F8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F4F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F4F8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008DDC1" w14:textId="77777777" w:rsidR="004A3264" w:rsidRPr="002F4F89" w:rsidRDefault="00E1299F" w:rsidP="002F4F89">
            <w:pPr>
              <w:jc w:val="center"/>
              <w:rPr>
                <w:rFonts w:ascii="Titillium Web" w:hAnsi="Titillium Web"/>
                <w:szCs w:val="24"/>
              </w:rPr>
            </w:pPr>
            <w:r w:rsidRPr="002F4F89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2F4F89">
              <w:rPr>
                <w:rFonts w:ascii="Titillium Web" w:eastAsia="Titillium" w:hAnsi="Titillium Web" w:cs="Titillium"/>
                <w:szCs w:val="24"/>
              </w:rPr>
              <w:t xml:space="preserve"> 1924, p. 301; </w:t>
            </w:r>
            <w:r w:rsidRPr="002F4F8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2F4F89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F4F89"/>
    <w:rsid w:val="00472AF4"/>
    <w:rsid w:val="004A3264"/>
    <w:rsid w:val="00551AF8"/>
    <w:rsid w:val="005B5AFF"/>
    <w:rsid w:val="006162A4"/>
    <w:rsid w:val="006346F7"/>
    <w:rsid w:val="006D6EFB"/>
    <w:rsid w:val="007145BC"/>
    <w:rsid w:val="007F22E8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2026-05-17T20:50:00Z</dcterms:modified>
</cp:coreProperties>
</file>