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1D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761D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1D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61D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61D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61D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1D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1D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1D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EB8187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201 Tomba a cremazione –</w:t>
            </w:r>
          </w:p>
          <w:p w14:paraId="04D4D7F6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A m. 27 dal bordo S. e a m. 24 dal canale e a m. 0,90 di profondità poggiava un dolietto di argilla rosso bruna, liscio, con un cordone rilevato presso il fondo, e senza anse. È marcito e in frammenti e conteneva le ossa combuste e una</w:t>
            </w:r>
          </w:p>
          <w:p w14:paraId="746DA984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1 tazzina a kylix, frammentata nell’ansa e nell’orlo.</w:t>
            </w:r>
          </w:p>
          <w:p w14:paraId="2E0D3327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È a vern. n. e nel centro un disegno in rosso imprecisabile.</w:t>
            </w:r>
          </w:p>
          <w:p w14:paraId="4B701EEE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All’esterno del dolio, attaccato alla parete, è un oggetto di ferro sformato dall’ossido; è stato raccolto con la metà del dolio.</w:t>
            </w:r>
          </w:p>
          <w:p w14:paraId="275F8068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A levante del dolio rasente all’oggetto di ferro</w:t>
            </w:r>
          </w:p>
          <w:p w14:paraId="15CDD77F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un vaso di argilla gialla di impasto locale rotto nei manici e nel collo.</w:t>
            </w:r>
          </w:p>
          <w:p w14:paraId="14D0E214" w14:textId="77777777" w:rsidR="00123FB4" w:rsidRPr="00761DEE" w:rsidRDefault="007D3D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DEE">
              <w:rPr>
                <w:rFonts w:ascii="Titillium Web" w:hAnsi="Titillium Web"/>
                <w:i/>
                <w:iCs/>
                <w:szCs w:val="24"/>
              </w:rPr>
              <w:t>Nulla altro –</w:t>
            </w:r>
          </w:p>
        </w:tc>
      </w:tr>
      <w:tr w:rsidR="0086297F" w:rsidRPr="00761D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761D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1D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1D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1D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1D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1D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D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7DE2EC" w14:textId="77777777" w:rsidR="00123FB4" w:rsidRPr="00761DEE" w:rsidRDefault="007D3D9F" w:rsidP="00761DEE">
            <w:pPr>
              <w:jc w:val="center"/>
              <w:rPr>
                <w:rFonts w:ascii="Titillium Web" w:hAnsi="Titillium Web"/>
                <w:szCs w:val="24"/>
              </w:rPr>
            </w:pPr>
            <w:r w:rsidRPr="00761DEE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761DEE">
              <w:rPr>
                <w:rFonts w:ascii="Titillium Web" w:eastAsia="Titillium" w:hAnsi="Titillium Web" w:cs="Titillium"/>
                <w:szCs w:val="24"/>
              </w:rPr>
              <w:t xml:space="preserve"> 1981, pp. 22, 72-73, tav. II, n. 4; </w:t>
            </w:r>
            <w:r w:rsidRPr="00761DEE">
              <w:rPr>
                <w:rFonts w:ascii="Titillium Web" w:eastAsia="Titillium" w:hAnsi="Titillium Web" w:cs="Titillium"/>
                <w:smallCaps/>
                <w:szCs w:val="24"/>
              </w:rPr>
              <w:t>Berti, Guzzo</w:t>
            </w:r>
            <w:r w:rsidRPr="00761DEE">
              <w:rPr>
                <w:rFonts w:ascii="Titillium Web" w:eastAsia="Titillium" w:hAnsi="Titillium Web" w:cs="Titillium"/>
                <w:szCs w:val="24"/>
              </w:rPr>
              <w:t xml:space="preserve"> 1993, pp. 276-277, nn. 158-159; </w:t>
            </w:r>
            <w:r w:rsidRPr="00761DE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61DE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3FB4"/>
    <w:rsid w:val="001C17CC"/>
    <w:rsid w:val="002977D7"/>
    <w:rsid w:val="00472AF4"/>
    <w:rsid w:val="00551AF8"/>
    <w:rsid w:val="005B5AFF"/>
    <w:rsid w:val="006162A4"/>
    <w:rsid w:val="00633D6C"/>
    <w:rsid w:val="006346F7"/>
    <w:rsid w:val="006D6EFB"/>
    <w:rsid w:val="007145BC"/>
    <w:rsid w:val="00761DE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2026-05-18T09:05:00Z</dcterms:modified>
</cp:coreProperties>
</file>