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210</w:t>
      </w:r>
    </w:p>
    <w:tbl>
      <w:tblPr>
        <w:tblStyle w:val="Grigliatabella"/>
        <w:tblW w:w="5000" w:type="pct"/>
        <w:jc w:val="center"/>
        <w:tblLook w:val="04A0" w:firstRow="1" w:lastRow="0" w:firstColumn="1" w:lastColumn="0" w:noHBand="0" w:noVBand="1"/>
      </w:tblPr>
      <w:tblGrid>
        <w:gridCol w:w="2990"/>
        <w:gridCol w:w="6070"/>
      </w:tblGrid>
      <w:tr w:rsidR="0086297F" w:rsidRPr="00FD2C6E" w14:paraId="69604347" w14:textId="77777777" w:rsidTr="002665C6">
        <w:trPr>
          <w:jc w:val="center"/>
        </w:trPr>
        <w:tc>
          <w:tcPr>
            <w:tcW w:w="1650" w:type="pct"/>
            <w:vAlign w:val="center"/>
          </w:tcPr>
          <w:p w14:paraId="59258D49" w14:textId="77777777" w:rsidR="0086297F" w:rsidRPr="00FD2C6E" w:rsidRDefault="0086297F" w:rsidP="002665C6">
            <w:pPr>
              <w:jc w:val="center"/>
              <w:rPr>
                <w:rFonts w:ascii="Titillium Web" w:hAnsi="Titillium Web"/>
                <w:smallCaps/>
                <w:szCs w:val="24"/>
              </w:rPr>
            </w:pPr>
            <w:r w:rsidRPr="00FD2C6E">
              <w:rPr>
                <w:rFonts w:ascii="Titillium Web" w:hAnsi="Titillium Web"/>
                <w:smallCaps/>
                <w:szCs w:val="24"/>
              </w:rPr>
              <w:t>Anno di rinvenimento</w:t>
            </w:r>
          </w:p>
        </w:tc>
        <w:tc>
          <w:tcPr>
            <w:tcW w:w="3350" w:type="pct"/>
            <w:vAlign w:val="center"/>
          </w:tcPr>
          <w:p w14:paraId="10AA1E7C" w14:textId="59BFE2EE" w:rsidR="0086297F" w:rsidRPr="00FD2C6E" w:rsidRDefault="0086297F" w:rsidP="002665C6">
            <w:pPr>
              <w:jc w:val="center"/>
              <w:rPr>
                <w:rFonts w:ascii="Titillium Web" w:hAnsi="Titillium Web"/>
                <w:szCs w:val="24"/>
              </w:rPr>
            </w:pPr>
            <w:r w:rsidRPr="00FD2C6E">
              <w:rPr>
                <w:rFonts w:ascii="Titillium Web" w:hAnsi="Titillium Web"/>
                <w:szCs w:val="24"/>
              </w:rPr>
              <w:t>1923</w:t>
            </w:r>
          </w:p>
        </w:tc>
      </w:tr>
      <w:tr w:rsidR="0086297F" w:rsidRPr="00FD2C6E" w14:paraId="3B6B9C62" w14:textId="77777777" w:rsidTr="002665C6">
        <w:trPr>
          <w:jc w:val="center"/>
        </w:trPr>
        <w:tc>
          <w:tcPr>
            <w:tcW w:w="1650" w:type="pct"/>
            <w:vAlign w:val="center"/>
          </w:tcPr>
          <w:p w14:paraId="2D01D888" w14:textId="77777777" w:rsidR="0086297F" w:rsidRPr="00FD2C6E" w:rsidRDefault="0086297F" w:rsidP="002665C6">
            <w:pPr>
              <w:jc w:val="center"/>
              <w:rPr>
                <w:rFonts w:ascii="Titillium Web" w:hAnsi="Titillium Web"/>
                <w:smallCaps/>
                <w:szCs w:val="24"/>
              </w:rPr>
            </w:pPr>
            <w:r w:rsidRPr="00FD2C6E">
              <w:rPr>
                <w:rFonts w:ascii="Titillium Web" w:hAnsi="Titillium Web"/>
                <w:smallCaps/>
                <w:szCs w:val="24"/>
              </w:rPr>
              <w:t>Stato di conservazione della tomba</w:t>
            </w:r>
          </w:p>
        </w:tc>
        <w:tc>
          <w:tcPr>
            <w:tcW w:w="3350" w:type="pct"/>
            <w:vAlign w:val="center"/>
          </w:tcPr>
          <w:p w14:paraId="3ADC95CD" w14:textId="31719CCD" w:rsidR="0086297F" w:rsidRPr="00FD2C6E" w:rsidRDefault="0086297F" w:rsidP="002665C6">
            <w:pPr>
              <w:jc w:val="center"/>
              <w:rPr>
                <w:rFonts w:ascii="Titillium Web" w:hAnsi="Titillium Web"/>
                <w:szCs w:val="24"/>
              </w:rPr>
            </w:pPr>
            <w:r w:rsidRPr="00FD2C6E">
              <w:rPr>
                <w:rFonts w:ascii="Titillium Web" w:hAnsi="Titillium Web"/>
                <w:szCs w:val="24"/>
              </w:rPr>
              <w:t>Intatta</w:t>
            </w:r>
          </w:p>
        </w:tc>
      </w:tr>
      <w:tr w:rsidR="0086297F" w:rsidRPr="00FD2C6E" w14:paraId="3D165E1E" w14:textId="77777777" w:rsidTr="002665C6">
        <w:trPr>
          <w:jc w:val="center"/>
        </w:trPr>
        <w:tc>
          <w:tcPr>
            <w:tcW w:w="1650" w:type="pct"/>
            <w:vAlign w:val="center"/>
          </w:tcPr>
          <w:p w14:paraId="2A5B3D4F" w14:textId="77777777" w:rsidR="0086297F" w:rsidRPr="00FD2C6E" w:rsidRDefault="0086297F" w:rsidP="002665C6">
            <w:pPr>
              <w:jc w:val="center"/>
              <w:rPr>
                <w:rFonts w:ascii="Titillium Web" w:hAnsi="Titillium Web"/>
                <w:smallCaps/>
                <w:szCs w:val="24"/>
              </w:rPr>
            </w:pPr>
            <w:r w:rsidRPr="00FD2C6E">
              <w:rPr>
                <w:rFonts w:ascii="Titillium Web" w:hAnsi="Titillium Web"/>
                <w:smallCaps/>
                <w:szCs w:val="24"/>
              </w:rPr>
              <w:t>Rito di seppellimento</w:t>
            </w:r>
          </w:p>
        </w:tc>
        <w:tc>
          <w:tcPr>
            <w:tcW w:w="3350" w:type="pct"/>
            <w:vAlign w:val="center"/>
          </w:tcPr>
          <w:p w14:paraId="094BD426" w14:textId="6E99443A" w:rsidR="0086297F" w:rsidRPr="00FD2C6E" w:rsidRDefault="0086297F" w:rsidP="002665C6">
            <w:pPr>
              <w:jc w:val="center"/>
              <w:rPr>
                <w:rFonts w:ascii="Titillium Web" w:hAnsi="Titillium Web"/>
                <w:szCs w:val="24"/>
              </w:rPr>
            </w:pPr>
            <w:r w:rsidRPr="00FD2C6E">
              <w:rPr>
                <w:rFonts w:ascii="Titillium Web" w:hAnsi="Titillium Web"/>
                <w:szCs w:val="24"/>
              </w:rPr>
              <w:t>Cremazione</w:t>
            </w:r>
          </w:p>
        </w:tc>
      </w:tr>
      <w:tr w:rsidR="0086297F" w:rsidRPr="00FD2C6E" w14:paraId="44CADBCB" w14:textId="77777777" w:rsidTr="002665C6">
        <w:trPr>
          <w:jc w:val="center"/>
        </w:trPr>
        <w:tc>
          <w:tcPr>
            <w:tcW w:w="1650" w:type="pct"/>
            <w:vAlign w:val="center"/>
          </w:tcPr>
          <w:p w14:paraId="1E25741A" w14:textId="77777777" w:rsidR="0086297F" w:rsidRPr="00FD2C6E" w:rsidRDefault="0086297F" w:rsidP="002665C6">
            <w:pPr>
              <w:jc w:val="center"/>
              <w:rPr>
                <w:rFonts w:ascii="Titillium Web" w:hAnsi="Titillium Web"/>
                <w:smallCaps/>
                <w:szCs w:val="24"/>
              </w:rPr>
            </w:pPr>
            <w:r w:rsidRPr="00FD2C6E">
              <w:rPr>
                <w:rFonts w:ascii="Titillium Web" w:hAnsi="Titillium Web"/>
                <w:smallCaps/>
                <w:szCs w:val="24"/>
              </w:rPr>
              <w:t>Struttura tomba</w:t>
            </w:r>
          </w:p>
        </w:tc>
        <w:tc>
          <w:tcPr>
            <w:tcW w:w="3350" w:type="pct"/>
            <w:vAlign w:val="center"/>
          </w:tcPr>
          <w:p w14:paraId="1DE3BCB3" w14:textId="08DB6A85" w:rsidR="0086297F" w:rsidRPr="00FD2C6E" w:rsidRDefault="0086297F" w:rsidP="002665C6">
            <w:pPr>
              <w:jc w:val="center"/>
              <w:rPr>
                <w:rFonts w:ascii="Titillium Web" w:hAnsi="Titillium Web"/>
                <w:szCs w:val="24"/>
              </w:rPr>
            </w:pPr>
            <w:r w:rsidRPr="00FD2C6E">
              <w:rPr>
                <w:rFonts w:ascii="Titillium Web" w:hAnsi="Titillium Web"/>
                <w:szCs w:val="24"/>
              </w:rPr>
              <w:t>pozzetto semplice</w:t>
            </w:r>
          </w:p>
        </w:tc>
      </w:tr>
      <w:tr w:rsidR="0086297F" w:rsidRPr="00FD2C6E" w14:paraId="47E1F943" w14:textId="77777777" w:rsidTr="002665C6">
        <w:trPr>
          <w:jc w:val="center"/>
        </w:trPr>
        <w:tc>
          <w:tcPr>
            <w:tcW w:w="1650" w:type="pct"/>
            <w:vAlign w:val="center"/>
          </w:tcPr>
          <w:p w14:paraId="355EE080" w14:textId="77777777" w:rsidR="0086297F" w:rsidRPr="00FD2C6E" w:rsidRDefault="0086297F" w:rsidP="002665C6">
            <w:pPr>
              <w:jc w:val="center"/>
              <w:rPr>
                <w:rFonts w:ascii="Titillium Web" w:hAnsi="Titillium Web"/>
                <w:smallCaps/>
                <w:szCs w:val="24"/>
              </w:rPr>
            </w:pPr>
            <w:r w:rsidRPr="00FD2C6E">
              <w:rPr>
                <w:rFonts w:ascii="Titillium Web" w:hAnsi="Titillium Web"/>
                <w:smallCaps/>
                <w:szCs w:val="24"/>
              </w:rPr>
              <w:t xml:space="preserve">Profondità dal piano di campagna </w:t>
            </w:r>
          </w:p>
        </w:tc>
        <w:tc>
          <w:tcPr>
            <w:tcW w:w="3350" w:type="pct"/>
            <w:vAlign w:val="center"/>
          </w:tcPr>
          <w:p w14:paraId="13D75B9B" w14:textId="6492371F" w:rsidR="0086297F" w:rsidRPr="00FD2C6E" w:rsidRDefault="0086297F" w:rsidP="002665C6">
            <w:pPr>
              <w:jc w:val="center"/>
              <w:rPr>
                <w:rFonts w:ascii="Titillium Web" w:hAnsi="Titillium Web"/>
                <w:szCs w:val="24"/>
              </w:rPr>
            </w:pPr>
            <w:r w:rsidRPr="00FD2C6E">
              <w:rPr>
                <w:rFonts w:ascii="Titillium Web" w:hAnsi="Titillium Web"/>
                <w:szCs w:val="24"/>
              </w:rPr>
              <w:t>0,95 m</w:t>
            </w:r>
          </w:p>
        </w:tc>
      </w:tr>
      <w:tr w:rsidR="0086297F" w:rsidRPr="00FD2C6E" w14:paraId="75BC79FE" w14:textId="77777777" w:rsidTr="002665C6">
        <w:trPr>
          <w:jc w:val="center"/>
        </w:trPr>
        <w:tc>
          <w:tcPr>
            <w:tcW w:w="1650" w:type="pct"/>
            <w:vAlign w:val="center"/>
          </w:tcPr>
          <w:p w14:paraId="432462C5" w14:textId="77777777" w:rsidR="0086297F" w:rsidRPr="00FD2C6E" w:rsidRDefault="0086297F" w:rsidP="002665C6">
            <w:pPr>
              <w:jc w:val="center"/>
              <w:rPr>
                <w:rFonts w:ascii="Titillium Web" w:hAnsi="Titillium Web"/>
                <w:smallCaps/>
                <w:szCs w:val="24"/>
              </w:rPr>
            </w:pPr>
            <w:r w:rsidRPr="00FD2C6E">
              <w:rPr>
                <w:rFonts w:ascii="Titillium Web" w:hAnsi="Titillium Web"/>
                <w:smallCaps/>
                <w:szCs w:val="24"/>
              </w:rPr>
              <w:t>Dimensioni della sepoltura</w:t>
            </w:r>
          </w:p>
        </w:tc>
        <w:tc>
          <w:tcPr>
            <w:tcW w:w="3350" w:type="pct"/>
            <w:vAlign w:val="center"/>
          </w:tcPr>
          <w:p w14:paraId="65EDFAD4" w14:textId="5859930D" w:rsidR="0086297F" w:rsidRPr="00FD2C6E" w:rsidRDefault="0086297F" w:rsidP="002665C6">
            <w:pPr>
              <w:jc w:val="center"/>
              <w:rPr>
                <w:rFonts w:ascii="Titillium Web" w:hAnsi="Titillium Web"/>
                <w:szCs w:val="24"/>
              </w:rPr>
            </w:pPr>
            <w:r w:rsidRPr="00FD2C6E">
              <w:rPr>
                <w:rFonts w:ascii="Titillium Web" w:hAnsi="Titillium Web"/>
                <w:szCs w:val="24"/>
              </w:rPr>
              <w:t>Dimensioni non registrate</w:t>
            </w:r>
          </w:p>
        </w:tc>
      </w:tr>
      <w:tr w:rsidR="0086297F" w:rsidRPr="00FD2C6E" w14:paraId="35E5C09E" w14:textId="77777777" w:rsidTr="002665C6">
        <w:trPr>
          <w:jc w:val="center"/>
        </w:trPr>
        <w:tc>
          <w:tcPr>
            <w:tcW w:w="1650" w:type="pct"/>
            <w:vAlign w:val="center"/>
          </w:tcPr>
          <w:p w14:paraId="5AA10374" w14:textId="77777777" w:rsidR="0086297F" w:rsidRPr="00FD2C6E" w:rsidRDefault="0086297F" w:rsidP="002665C6">
            <w:pPr>
              <w:jc w:val="center"/>
              <w:rPr>
                <w:rFonts w:ascii="Titillium Web" w:hAnsi="Titillium Web"/>
                <w:smallCaps/>
                <w:szCs w:val="24"/>
              </w:rPr>
            </w:pPr>
            <w:r w:rsidRPr="00FD2C6E">
              <w:rPr>
                <w:rFonts w:ascii="Titillium Web" w:hAnsi="Titillium Web"/>
                <w:smallCaps/>
                <w:szCs w:val="24"/>
              </w:rPr>
              <w:t>Orientamento dello scheletro</w:t>
            </w:r>
          </w:p>
        </w:tc>
        <w:tc>
          <w:tcPr>
            <w:tcW w:w="3350" w:type="pct"/>
            <w:vAlign w:val="center"/>
          </w:tcPr>
          <w:p w14:paraId="6E0E4E7B" w14:textId="7F6B3E0C" w:rsidR="0086297F" w:rsidRPr="00FD2C6E" w:rsidRDefault="0086297F" w:rsidP="002665C6">
            <w:pPr>
              <w:jc w:val="center"/>
              <w:rPr>
                <w:rFonts w:ascii="Titillium Web" w:hAnsi="Titillium Web"/>
                <w:szCs w:val="24"/>
              </w:rPr>
            </w:pPr>
            <w:r w:rsidRPr="00FD2C6E">
              <w:rPr>
                <w:rFonts w:ascii="Titillium Web" w:hAnsi="Titillium Web"/>
                <w:szCs w:val="24"/>
              </w:rPr>
              <w:t>/</w:t>
            </w:r>
          </w:p>
        </w:tc>
      </w:tr>
      <w:tr w:rsidR="0086297F" w:rsidRPr="00FD2C6E" w14:paraId="71236441" w14:textId="77777777" w:rsidTr="002665C6">
        <w:trPr>
          <w:jc w:val="center"/>
        </w:trPr>
        <w:tc>
          <w:tcPr>
            <w:tcW w:w="1650" w:type="pct"/>
            <w:vAlign w:val="center"/>
          </w:tcPr>
          <w:p w14:paraId="4A1B31A8" w14:textId="77777777" w:rsidR="0086297F" w:rsidRPr="00FD2C6E" w:rsidRDefault="0086297F" w:rsidP="002665C6">
            <w:pPr>
              <w:jc w:val="center"/>
              <w:rPr>
                <w:rFonts w:ascii="Titillium Web" w:hAnsi="Titillium Web"/>
                <w:smallCaps/>
                <w:szCs w:val="24"/>
              </w:rPr>
            </w:pPr>
            <w:r w:rsidRPr="00FD2C6E">
              <w:rPr>
                <w:rFonts w:ascii="Titillium Web" w:hAnsi="Titillium Web"/>
                <w:smallCaps/>
                <w:szCs w:val="24"/>
              </w:rPr>
              <w:t>Segnacolo</w:t>
            </w:r>
          </w:p>
        </w:tc>
        <w:tc>
          <w:tcPr>
            <w:tcW w:w="3350" w:type="pct"/>
            <w:vAlign w:val="center"/>
          </w:tcPr>
          <w:p w14:paraId="104CE615" w14:textId="50385AE1" w:rsidR="0086297F" w:rsidRPr="00FD2C6E" w:rsidRDefault="0086297F" w:rsidP="002665C6">
            <w:pPr>
              <w:jc w:val="center"/>
              <w:rPr>
                <w:rFonts w:ascii="Titillium Web" w:hAnsi="Titillium Web"/>
                <w:szCs w:val="24"/>
              </w:rPr>
            </w:pPr>
            <w:r w:rsidRPr="00FD2C6E">
              <w:rPr>
                <w:rFonts w:ascii="Titillium Web" w:hAnsi="Titillium Web"/>
                <w:szCs w:val="24"/>
              </w:rPr>
              <w:t>/</w:t>
            </w:r>
          </w:p>
        </w:tc>
      </w:tr>
      <w:tr w:rsidR="0086297F" w:rsidRPr="00FD2C6E" w14:paraId="6D6CBA71" w14:textId="77777777" w:rsidTr="002665C6">
        <w:trPr>
          <w:jc w:val="center"/>
        </w:trPr>
        <w:tc>
          <w:tcPr>
            <w:tcW w:w="1650" w:type="pct"/>
            <w:vAlign w:val="center"/>
          </w:tcPr>
          <w:p w14:paraId="75CA0D64" w14:textId="77777777" w:rsidR="0086297F" w:rsidRPr="00FD2C6E" w:rsidRDefault="0086297F" w:rsidP="002665C6">
            <w:pPr>
              <w:jc w:val="center"/>
              <w:rPr>
                <w:rFonts w:ascii="Titillium Web" w:hAnsi="Titillium Web"/>
                <w:smallCaps/>
                <w:szCs w:val="24"/>
              </w:rPr>
            </w:pPr>
            <w:r w:rsidRPr="00FD2C6E">
              <w:rPr>
                <w:rFonts w:ascii="Titillium Web" w:hAnsi="Titillium Web"/>
                <w:smallCaps/>
                <w:szCs w:val="24"/>
              </w:rPr>
              <w:t>Giornale di scavo</w:t>
            </w:r>
          </w:p>
        </w:tc>
        <w:tc>
          <w:tcPr>
            <w:tcW w:w="3350" w:type="pct"/>
            <w:vAlign w:val="center"/>
          </w:tcPr>
          <w:p w14:paraId="3495E6DF" w14:textId="77777777" w:rsidR="00142EB3" w:rsidRPr="00FD2C6E" w:rsidRDefault="00CC5489">
            <w:pPr>
              <w:rPr>
                <w:rFonts w:ascii="Titillium Web" w:hAnsi="Titillium Web"/>
                <w:i/>
                <w:iCs/>
                <w:szCs w:val="24"/>
              </w:rPr>
            </w:pPr>
            <w:r w:rsidRPr="00FD2C6E">
              <w:rPr>
                <w:rFonts w:ascii="Titillium Web" w:hAnsi="Titillium Web"/>
                <w:i/>
                <w:iCs/>
                <w:szCs w:val="24"/>
              </w:rPr>
              <w:t>210 Tomba a cremazione</w:t>
            </w:r>
          </w:p>
          <w:p w14:paraId="75C6D9E4" w14:textId="77777777" w:rsidR="00142EB3" w:rsidRPr="00FD2C6E" w:rsidRDefault="00CC5489">
            <w:pPr>
              <w:rPr>
                <w:rFonts w:ascii="Titillium Web" w:hAnsi="Titillium Web"/>
                <w:i/>
                <w:iCs/>
                <w:szCs w:val="24"/>
              </w:rPr>
            </w:pPr>
            <w:r w:rsidRPr="00FD2C6E">
              <w:rPr>
                <w:rFonts w:ascii="Titillium Web" w:hAnsi="Titillium Web"/>
                <w:i/>
                <w:iCs/>
                <w:szCs w:val="24"/>
              </w:rPr>
              <w:t>A m. 24 dal bordo S. dello scavo e a m. 30 dal canale a m. 0,95 di profondità poggia un piccolo dolio ovoidale di argilla rossiccia, liscio, senza anse, intero entro al quale erano le ossa combuste. Alto 0,21. Il dolietto era coperto da una ciotola di terra a ver. nera, intera; diam. 0,15.</w:t>
            </w:r>
          </w:p>
          <w:p w14:paraId="68A1FAB5" w14:textId="77777777" w:rsidR="00142EB3" w:rsidRPr="00FD2C6E" w:rsidRDefault="00CC5489">
            <w:pPr>
              <w:rPr>
                <w:rFonts w:ascii="Titillium Web" w:hAnsi="Titillium Web"/>
                <w:i/>
                <w:iCs/>
                <w:szCs w:val="24"/>
              </w:rPr>
            </w:pPr>
            <w:r w:rsidRPr="00FD2C6E">
              <w:rPr>
                <w:rFonts w:ascii="Titillium Web" w:hAnsi="Titillium Web"/>
                <w:i/>
                <w:iCs/>
                <w:szCs w:val="24"/>
              </w:rPr>
              <w:t>La scodella ha impressioni a stampo nell’interno, e sigla graffita sotto il fondello.</w:t>
            </w:r>
          </w:p>
          <w:p w14:paraId="291BEDC3" w14:textId="77777777" w:rsidR="00142EB3" w:rsidRPr="00FD2C6E" w:rsidRDefault="00CC5489">
            <w:pPr>
              <w:rPr>
                <w:rFonts w:ascii="Titillium Web" w:hAnsi="Titillium Web"/>
                <w:i/>
                <w:iCs/>
                <w:szCs w:val="24"/>
              </w:rPr>
            </w:pPr>
            <w:r w:rsidRPr="00FD2C6E">
              <w:rPr>
                <w:rFonts w:ascii="Titillium Web" w:hAnsi="Titillium Web"/>
                <w:i/>
                <w:iCs/>
                <w:szCs w:val="24"/>
              </w:rPr>
              <w:t>A fianco del dolio era un oinocoe a fiasco panciuto di argilla giallo chiara, con disegni di volute e motivi floreali decorativi a vern. nera; mancante della bocca e dell’ansa -</w:t>
            </w:r>
          </w:p>
          <w:p w14:paraId="2F7D1CEB" w14:textId="77777777" w:rsidR="00142EB3" w:rsidRPr="00FD2C6E" w:rsidRDefault="00CC5489">
            <w:pPr>
              <w:rPr>
                <w:rFonts w:ascii="Titillium Web" w:hAnsi="Titillium Web"/>
                <w:i/>
                <w:iCs/>
                <w:szCs w:val="24"/>
              </w:rPr>
            </w:pPr>
            <w:r w:rsidRPr="00FD2C6E">
              <w:rPr>
                <w:rFonts w:ascii="Titillium Web" w:hAnsi="Titillium Web"/>
                <w:i/>
                <w:iCs/>
                <w:szCs w:val="24"/>
              </w:rPr>
              <w:t>Null’altro</w:t>
            </w:r>
          </w:p>
        </w:tc>
      </w:tr>
      <w:tr w:rsidR="0086297F" w:rsidRPr="00FD2C6E" w14:paraId="1429C2F3" w14:textId="77777777" w:rsidTr="002665C6">
        <w:trPr>
          <w:jc w:val="center"/>
        </w:trPr>
        <w:tc>
          <w:tcPr>
            <w:tcW w:w="1650" w:type="pct"/>
            <w:vAlign w:val="center"/>
          </w:tcPr>
          <w:p w14:paraId="7F398080" w14:textId="77777777" w:rsidR="0086297F" w:rsidRPr="00FD2C6E" w:rsidRDefault="0086297F" w:rsidP="002665C6">
            <w:pPr>
              <w:jc w:val="center"/>
              <w:rPr>
                <w:rFonts w:ascii="Titillium Web" w:hAnsi="Titillium Web"/>
                <w:smallCaps/>
                <w:szCs w:val="24"/>
              </w:rPr>
            </w:pPr>
            <w:r w:rsidRPr="00FD2C6E">
              <w:rPr>
                <w:rFonts w:ascii="Titillium Web" w:hAnsi="Titillium Web"/>
                <w:smallCaps/>
                <w:szCs w:val="24"/>
              </w:rPr>
              <w:t>Posizione del corredo</w:t>
            </w:r>
          </w:p>
        </w:tc>
        <w:tc>
          <w:tcPr>
            <w:tcW w:w="3350" w:type="pct"/>
            <w:vAlign w:val="center"/>
          </w:tcPr>
          <w:p w14:paraId="5C03ADA7" w14:textId="7BF3AD8D" w:rsidR="0086297F" w:rsidRPr="00FD2C6E" w:rsidRDefault="0086297F" w:rsidP="002665C6">
            <w:pPr>
              <w:jc w:val="center"/>
              <w:rPr>
                <w:rFonts w:ascii="Titillium Web" w:hAnsi="Titillium Web"/>
                <w:szCs w:val="24"/>
              </w:rPr>
            </w:pPr>
            <w:r w:rsidRPr="00FD2C6E">
              <w:rPr>
                <w:rFonts w:ascii="Titillium Web" w:hAnsi="Titillium Web"/>
                <w:szCs w:val="24"/>
              </w:rPr>
              <w:t>Fuori il cinerario</w:t>
            </w:r>
          </w:p>
        </w:tc>
      </w:tr>
      <w:tr w:rsidR="0086297F" w:rsidRPr="00FD2C6E" w14:paraId="71A0E4AF" w14:textId="77777777" w:rsidTr="002665C6">
        <w:trPr>
          <w:jc w:val="center"/>
        </w:trPr>
        <w:tc>
          <w:tcPr>
            <w:tcW w:w="1650" w:type="pct"/>
            <w:vAlign w:val="center"/>
          </w:tcPr>
          <w:p w14:paraId="2128B19B" w14:textId="77777777" w:rsidR="0086297F" w:rsidRPr="00FD2C6E" w:rsidRDefault="0086297F" w:rsidP="002665C6">
            <w:pPr>
              <w:jc w:val="center"/>
              <w:rPr>
                <w:rFonts w:ascii="Titillium Web" w:hAnsi="Titillium Web"/>
                <w:smallCaps/>
                <w:szCs w:val="24"/>
              </w:rPr>
            </w:pPr>
            <w:r w:rsidRPr="00FD2C6E">
              <w:rPr>
                <w:rFonts w:ascii="Titillium Web" w:hAnsi="Titillium Web"/>
                <w:smallCaps/>
                <w:szCs w:val="24"/>
              </w:rPr>
              <w:t>Genere (legato all’analisi del corredo)</w:t>
            </w:r>
          </w:p>
        </w:tc>
        <w:tc>
          <w:tcPr>
            <w:tcW w:w="3350" w:type="pct"/>
            <w:vAlign w:val="center"/>
          </w:tcPr>
          <w:p w14:paraId="31324C2B" w14:textId="4E55E405" w:rsidR="0086297F" w:rsidRPr="00FD2C6E" w:rsidRDefault="0086297F" w:rsidP="002665C6">
            <w:pPr>
              <w:jc w:val="center"/>
              <w:rPr>
                <w:rFonts w:ascii="Titillium Web" w:hAnsi="Titillium Web"/>
                <w:szCs w:val="24"/>
              </w:rPr>
            </w:pPr>
            <w:r w:rsidRPr="00FD2C6E">
              <w:rPr>
                <w:rFonts w:ascii="Titillium Web" w:hAnsi="Titillium Web"/>
                <w:szCs w:val="24"/>
              </w:rPr>
              <w:t>Non determinabile</w:t>
            </w:r>
          </w:p>
        </w:tc>
      </w:tr>
      <w:tr w:rsidR="0086297F" w:rsidRPr="00FD2C6E" w14:paraId="17633947" w14:textId="77777777" w:rsidTr="002665C6">
        <w:trPr>
          <w:jc w:val="center"/>
        </w:trPr>
        <w:tc>
          <w:tcPr>
            <w:tcW w:w="1650" w:type="pct"/>
            <w:vAlign w:val="center"/>
          </w:tcPr>
          <w:p w14:paraId="44721053" w14:textId="77777777" w:rsidR="0086297F" w:rsidRPr="00FD2C6E" w:rsidRDefault="0086297F" w:rsidP="002665C6">
            <w:pPr>
              <w:jc w:val="center"/>
              <w:rPr>
                <w:rFonts w:ascii="Titillium Web" w:hAnsi="Titillium Web"/>
                <w:smallCaps/>
                <w:szCs w:val="24"/>
              </w:rPr>
            </w:pPr>
            <w:r w:rsidRPr="00FD2C6E">
              <w:rPr>
                <w:rFonts w:ascii="Titillium Web" w:hAnsi="Titillium Web"/>
                <w:smallCaps/>
                <w:szCs w:val="24"/>
              </w:rPr>
              <w:t>Sesso (legato alle analisi antropologiche)</w:t>
            </w:r>
          </w:p>
        </w:tc>
        <w:tc>
          <w:tcPr>
            <w:tcW w:w="3350" w:type="pct"/>
            <w:vAlign w:val="center"/>
          </w:tcPr>
          <w:p w14:paraId="66E918A4" w14:textId="50197FF0" w:rsidR="0086297F" w:rsidRPr="00FD2C6E" w:rsidRDefault="0086297F" w:rsidP="002665C6">
            <w:pPr>
              <w:jc w:val="center"/>
              <w:rPr>
                <w:rFonts w:ascii="Titillium Web" w:hAnsi="Titillium Web"/>
                <w:szCs w:val="24"/>
              </w:rPr>
            </w:pPr>
            <w:proofErr w:type="gramStart"/>
            <w:r w:rsidRPr="00FD2C6E">
              <w:rPr>
                <w:rFonts w:ascii="Titillium Web" w:hAnsi="Titillium Web"/>
                <w:szCs w:val="24"/>
              </w:rPr>
              <w:t>Maschile ?</w:t>
            </w:r>
            <w:proofErr w:type="gramEnd"/>
          </w:p>
        </w:tc>
      </w:tr>
      <w:tr w:rsidR="0086297F" w:rsidRPr="00FD2C6E" w14:paraId="0588946D" w14:textId="77777777" w:rsidTr="002665C6">
        <w:trPr>
          <w:jc w:val="center"/>
        </w:trPr>
        <w:tc>
          <w:tcPr>
            <w:tcW w:w="1650" w:type="pct"/>
            <w:vAlign w:val="center"/>
          </w:tcPr>
          <w:p w14:paraId="54990945" w14:textId="77777777" w:rsidR="0086297F" w:rsidRPr="00FD2C6E" w:rsidRDefault="0086297F" w:rsidP="002665C6">
            <w:pPr>
              <w:jc w:val="center"/>
              <w:rPr>
                <w:rFonts w:ascii="Titillium Web" w:hAnsi="Titillium Web"/>
                <w:smallCaps/>
                <w:szCs w:val="24"/>
              </w:rPr>
            </w:pPr>
            <w:r w:rsidRPr="00FD2C6E">
              <w:rPr>
                <w:rFonts w:ascii="Titillium Web" w:hAnsi="Titillium Web"/>
                <w:smallCaps/>
                <w:szCs w:val="24"/>
              </w:rPr>
              <w:t>Classi di età</w:t>
            </w:r>
          </w:p>
        </w:tc>
        <w:tc>
          <w:tcPr>
            <w:tcW w:w="3350" w:type="pct"/>
            <w:vAlign w:val="center"/>
          </w:tcPr>
          <w:p w14:paraId="0E0589EA" w14:textId="7D4DF825" w:rsidR="0086297F" w:rsidRPr="00FD2C6E" w:rsidRDefault="0086297F" w:rsidP="002665C6">
            <w:pPr>
              <w:jc w:val="center"/>
              <w:rPr>
                <w:rFonts w:ascii="Titillium Web" w:hAnsi="Titillium Web"/>
                <w:szCs w:val="24"/>
              </w:rPr>
            </w:pPr>
            <w:r w:rsidRPr="00FD2C6E">
              <w:rPr>
                <w:rFonts w:ascii="Titillium Web" w:hAnsi="Titillium Web"/>
                <w:szCs w:val="24"/>
              </w:rPr>
              <w:t>Adulto giovane</w:t>
            </w:r>
          </w:p>
        </w:tc>
      </w:tr>
      <w:tr w:rsidR="0086297F" w:rsidRPr="00FD2C6E" w14:paraId="1FFA88A1" w14:textId="77777777" w:rsidTr="002665C6">
        <w:trPr>
          <w:jc w:val="center"/>
        </w:trPr>
        <w:tc>
          <w:tcPr>
            <w:tcW w:w="1650" w:type="pct"/>
            <w:vAlign w:val="center"/>
          </w:tcPr>
          <w:p w14:paraId="63B2D8D6" w14:textId="77777777" w:rsidR="0086297F" w:rsidRPr="00FD2C6E" w:rsidRDefault="0086297F" w:rsidP="002665C6">
            <w:pPr>
              <w:jc w:val="center"/>
              <w:rPr>
                <w:rFonts w:ascii="Titillium Web" w:hAnsi="Titillium Web"/>
                <w:smallCaps/>
                <w:szCs w:val="24"/>
              </w:rPr>
            </w:pPr>
            <w:r w:rsidRPr="00FD2C6E">
              <w:rPr>
                <w:rFonts w:ascii="Titillium Web" w:hAnsi="Titillium Web"/>
                <w:smallCaps/>
                <w:szCs w:val="24"/>
              </w:rPr>
              <w:t>Bibliografia essenziale</w:t>
            </w:r>
          </w:p>
        </w:tc>
        <w:tc>
          <w:tcPr>
            <w:tcW w:w="3350" w:type="pct"/>
            <w:vAlign w:val="center"/>
          </w:tcPr>
          <w:p w14:paraId="6DCB3D5C" w14:textId="77777777" w:rsidR="00142EB3" w:rsidRPr="00FD2C6E" w:rsidRDefault="00CC5489" w:rsidP="00FD2C6E">
            <w:pPr>
              <w:jc w:val="center"/>
              <w:rPr>
                <w:rFonts w:ascii="Titillium Web" w:hAnsi="Titillium Web"/>
                <w:szCs w:val="24"/>
              </w:rPr>
            </w:pPr>
            <w:r w:rsidRPr="00FD2C6E">
              <w:rPr>
                <w:rFonts w:ascii="Titillium Web" w:eastAsia="Titillium" w:hAnsi="Titillium Web" w:cs="Titillium"/>
                <w:smallCaps/>
                <w:szCs w:val="24"/>
              </w:rPr>
              <w:t>Trevisanello</w:t>
            </w:r>
            <w:r w:rsidRPr="00FD2C6E">
              <w:rPr>
                <w:rFonts w:ascii="Titillium Web" w:eastAsia="Titillium" w:hAnsi="Titillium Web" w:cs="Titillium"/>
                <w:szCs w:val="24"/>
              </w:rPr>
              <w:t xml:space="preserve"> 2024</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D72F4"/>
    <w:rsid w:val="00142EB3"/>
    <w:rsid w:val="001C17CC"/>
    <w:rsid w:val="002977D7"/>
    <w:rsid w:val="00472AF4"/>
    <w:rsid w:val="00551AF8"/>
    <w:rsid w:val="005B5AFF"/>
    <w:rsid w:val="006162A4"/>
    <w:rsid w:val="006346F7"/>
    <w:rsid w:val="006D6EFB"/>
    <w:rsid w:val="007145BC"/>
    <w:rsid w:val="0077621B"/>
    <w:rsid w:val="0086297F"/>
    <w:rsid w:val="009E4922"/>
    <w:rsid w:val="00AB321D"/>
    <w:rsid w:val="00B165C4"/>
    <w:rsid w:val="00C21EE0"/>
    <w:rsid w:val="00D900AB"/>
    <w:rsid w:val="00D936E8"/>
    <w:rsid w:val="00E24633"/>
    <w:rsid w:val="00FD2C6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170</Words>
  <Characters>974</Characters>
  <Application>Microsoft Office Word</Application>
  <DocSecurity>0</DocSecurity>
  <Lines>8</Lines>
  <Paragraphs>2</Paragraphs>
  <ScaleCrop>false</ScaleCrop>
  <Company/>
  <LinksUpToDate>false</LinksUpToDate>
  <CharactersWithSpaces>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7</cp:revision>
  <dcterms:created xsi:type="dcterms:W3CDTF">2026-04-30T12:42:00Z</dcterms:created>
  <dcterms:modified xsi:type="dcterms:W3CDTF">2026-05-18T09:13:00Z</dcterms:modified>
</cp:coreProperties>
</file>