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C50B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0C50B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C50B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C50B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C50B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C50B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C50B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50B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C50B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0A1366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213 Tomba a umazione (saccheggiata)</w:t>
            </w:r>
          </w:p>
          <w:p w14:paraId="5C9715E1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A m. 17 dal bordo S. dello scavo e a m. 31 dal canale, a 0,90 di profondità si rinviene uno scheletro scomposto del quale non restano che il cranio e poche ossa.</w:t>
            </w:r>
          </w:p>
          <w:p w14:paraId="2B2F532C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A pon. del mucchio di ossa scomposte erano:</w:t>
            </w:r>
          </w:p>
          <w:p w14:paraId="5196912E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un oinocoe a bocca trilobata, a ver. nera scadente, e ad ansa verticale; intero.</w:t>
            </w:r>
          </w:p>
          <w:p w14:paraId="184C7585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2 skyfos piccoli, di spessore robusto, a piede stretto e alto interi, a vernice bruna.</w:t>
            </w:r>
          </w:p>
          <w:p w14:paraId="484520B2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C50B4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C50B4">
              <w:rPr>
                <w:rFonts w:ascii="Titillium Web" w:hAnsi="Titillium Web"/>
                <w:i/>
                <w:iCs/>
                <w:szCs w:val="24"/>
              </w:rPr>
              <w:t xml:space="preserve"> scodelle a ver. n., intere.</w:t>
            </w:r>
          </w:p>
          <w:p w14:paraId="1F041B0B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I vasi erano a posto, non smossi; e questo fa credere che o lavori agricoli o d'altra natura abbiano sconvolto lo scheletro senza toccare il gruppo di vasetti.</w:t>
            </w:r>
          </w:p>
          <w:p w14:paraId="7B8E2852" w14:textId="77777777" w:rsidR="00EB6AB7" w:rsidRPr="000C50B4" w:rsidRDefault="00091E3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50B4">
              <w:rPr>
                <w:rFonts w:ascii="Titillium Web" w:hAnsi="Titillium Web"/>
                <w:i/>
                <w:iCs/>
                <w:szCs w:val="24"/>
              </w:rPr>
              <w:t>Null'altro</w:t>
            </w:r>
          </w:p>
        </w:tc>
      </w:tr>
      <w:tr w:rsidR="0086297F" w:rsidRPr="000C50B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0C50B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50B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50B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C50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50B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C50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50B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ADBBE4" w14:textId="459D4B52" w:rsidR="00EB6AB7" w:rsidRPr="000C50B4" w:rsidRDefault="00091E33" w:rsidP="000C50B4">
            <w:pPr>
              <w:jc w:val="center"/>
              <w:rPr>
                <w:rFonts w:ascii="Titillium Web" w:hAnsi="Titillium Web"/>
                <w:szCs w:val="24"/>
              </w:rPr>
            </w:pPr>
            <w:r w:rsidRPr="000C50B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0C50B4">
              <w:rPr>
                <w:rFonts w:ascii="Titillium Web" w:eastAsia="Titillium" w:hAnsi="Titillium Web" w:cs="Titillium"/>
                <w:szCs w:val="24"/>
              </w:rPr>
              <w:t xml:space="preserve"> 1983, p. 45; </w:t>
            </w:r>
            <w:r w:rsidRPr="000C50B4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0C50B4">
              <w:rPr>
                <w:rFonts w:ascii="Titillium Web" w:eastAsia="Titillium" w:hAnsi="Titillium Web" w:cs="Titillium"/>
                <w:szCs w:val="24"/>
              </w:rPr>
              <w:t xml:space="preserve"> 1978, n. 20, pp. 358-359; </w:t>
            </w:r>
            <w:r w:rsidR="000C50B4" w:rsidRPr="000C50B4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0C50B4" w:rsidRPr="000C50B4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0C50B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C50B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50B4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17F5"/>
    <w:rsid w:val="00AB321D"/>
    <w:rsid w:val="00B165C4"/>
    <w:rsid w:val="00C21EE0"/>
    <w:rsid w:val="00D900AB"/>
    <w:rsid w:val="00D936E8"/>
    <w:rsid w:val="00E24633"/>
    <w:rsid w:val="00E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2026-05-18T09:14:00Z</dcterms:modified>
</cp:coreProperties>
</file>