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177CC3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177CC3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177CC3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177CC3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177CC3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0,50 m</w:t>
            </w:r>
          </w:p>
        </w:tc>
      </w:tr>
      <w:tr w:rsidR="001B5504" w:rsidRPr="00177CC3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177CC3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N-S</w:t>
            </w:r>
          </w:p>
        </w:tc>
      </w:tr>
      <w:tr w:rsidR="001B5504" w:rsidRPr="00177CC3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4E97210" w:rsidR="001B5504" w:rsidRPr="00177CC3" w:rsidRDefault="0058670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177CC3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177CC3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AFC9256" w:rsidR="001B5504" w:rsidRPr="00177CC3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177CC3">
              <w:rPr>
                <w:rFonts w:ascii="Titillium Web" w:hAnsi="Titillium Web"/>
                <w:i/>
                <w:iCs/>
                <w:szCs w:val="24"/>
              </w:rPr>
              <w:t>Tomba 22 a umazione</w:t>
            </w:r>
            <w:r w:rsidRPr="00177CC3">
              <w:rPr>
                <w:rFonts w:ascii="Titillium Web" w:hAnsi="Titillium Web"/>
                <w:i/>
                <w:iCs/>
                <w:szCs w:val="24"/>
              </w:rPr>
              <w:br/>
              <w:t>A nord-ovest della tomba 20, e alla profondità di m. 0,50, giaceva un terzo scheletro orientato come i precedenti, il quale non conserva presso di sé alcun oggetto.</w:t>
            </w:r>
            <w:r w:rsidRPr="00177CC3">
              <w:rPr>
                <w:rFonts w:ascii="Titillium Web" w:hAnsi="Titillium Web"/>
                <w:i/>
                <w:iCs/>
                <w:szCs w:val="24"/>
              </w:rPr>
              <w:br/>
              <w:t>Nel fare la fossa per la disposizione di questo scheletro, gli scavatori debbono avere incontrato il teschio e parte dello scheletro della 20; ecco perché fra il cumulo dei vasetti della tomba 20 si rinvengono pezzi di ossa umane che mancano nella parte superiore dello scheletro -</w:t>
            </w:r>
          </w:p>
        </w:tc>
      </w:tr>
      <w:tr w:rsidR="001B5504" w:rsidRPr="00177CC3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EE32F9C" w14:textId="27FB1CE1" w:rsidR="001B5504" w:rsidRPr="00177CC3" w:rsidRDefault="00A5167C" w:rsidP="00177CC3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La sepoltura non presentava corredo</w:t>
            </w:r>
          </w:p>
        </w:tc>
      </w:tr>
      <w:tr w:rsidR="001B5504" w:rsidRPr="00177CC3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330A9C2" w:rsidR="001B5504" w:rsidRPr="00177CC3" w:rsidRDefault="00174150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177CC3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54A2373" w:rsidR="001B5504" w:rsidRPr="00177CC3" w:rsidRDefault="00177CC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 w:cs="Times New Roman"/>
                <w:szCs w:val="24"/>
              </w:rPr>
              <w:t>In assenza di evidenze di manomissione, l’assenza del corredo non sembra riconducibile ad un’azione predatoria; potrebbe invece riflettere una modalità di seppellimento specifica, rara ma attestata nella necropoli in circa 25 sepolture.</w:t>
            </w:r>
          </w:p>
        </w:tc>
      </w:tr>
      <w:tr w:rsidR="001B5504" w:rsidRPr="00177CC3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7CC3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7CC3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177CC3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zCs w:val="24"/>
              </w:rPr>
              <w:t>Dopo la metà del IV sec. a.C.</w:t>
            </w:r>
          </w:p>
        </w:tc>
      </w:tr>
      <w:tr w:rsidR="001B5504" w:rsidRPr="00177CC3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Negrioli</w:t>
            </w:r>
            <w:r w:rsidRPr="00177CC3">
              <w:rPr>
                <w:rFonts w:ascii="Titillium Web" w:hAnsi="Titillium Web"/>
                <w:szCs w:val="24"/>
              </w:rPr>
              <w:t xml:space="preserve"> 1924, pp. 294-295, n. 3</w:t>
            </w:r>
          </w:p>
        </w:tc>
      </w:tr>
      <w:tr w:rsidR="001B5504" w:rsidRPr="00177CC3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177CC3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7CC3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177CC3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230C8"/>
    <w:rsid w:val="00174150"/>
    <w:rsid w:val="00177CC3"/>
    <w:rsid w:val="001B5504"/>
    <w:rsid w:val="001F2833"/>
    <w:rsid w:val="0029024B"/>
    <w:rsid w:val="002977D7"/>
    <w:rsid w:val="002F1500"/>
    <w:rsid w:val="00472AF4"/>
    <w:rsid w:val="0058670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167C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8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2026-05-18T08:08:00Z</dcterms:modified>
</cp:coreProperties>
</file>