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223</w:t>
      </w:r>
    </w:p>
    <w:tbl>
      <w:tblPr>
        <w:tblStyle w:val="Grigliatabella"/>
        <w:tblW w:w="5000" w:type="pct"/>
        <w:jc w:val="center"/>
        <w:tblLook w:val="04A0" w:firstRow="1" w:lastRow="0" w:firstColumn="1" w:lastColumn="0" w:noHBand="0" w:noVBand="1"/>
      </w:tblPr>
      <w:tblGrid>
        <w:gridCol w:w="2990"/>
        <w:gridCol w:w="6070"/>
      </w:tblGrid>
      <w:tr w:rsidR="0086297F" w:rsidRPr="0005504B" w14:paraId="69604347" w14:textId="77777777" w:rsidTr="002665C6">
        <w:trPr>
          <w:jc w:val="center"/>
        </w:trPr>
        <w:tc>
          <w:tcPr>
            <w:tcW w:w="1650" w:type="pct"/>
            <w:vAlign w:val="center"/>
          </w:tcPr>
          <w:p w14:paraId="59258D49" w14:textId="77777777" w:rsidR="0086297F" w:rsidRPr="0005504B" w:rsidRDefault="0086297F" w:rsidP="002665C6">
            <w:pPr>
              <w:jc w:val="center"/>
              <w:rPr>
                <w:rFonts w:ascii="Titillium Web" w:hAnsi="Titillium Web"/>
                <w:smallCaps/>
                <w:szCs w:val="24"/>
              </w:rPr>
            </w:pPr>
            <w:r w:rsidRPr="0005504B">
              <w:rPr>
                <w:rFonts w:ascii="Titillium Web" w:hAnsi="Titillium Web"/>
                <w:smallCaps/>
                <w:szCs w:val="24"/>
              </w:rPr>
              <w:t>Anno di rinvenimento</w:t>
            </w:r>
          </w:p>
        </w:tc>
        <w:tc>
          <w:tcPr>
            <w:tcW w:w="3350" w:type="pct"/>
            <w:vAlign w:val="center"/>
          </w:tcPr>
          <w:p w14:paraId="10AA1E7C" w14:textId="59BFE2EE" w:rsidR="0086297F" w:rsidRPr="0005504B" w:rsidRDefault="0086297F" w:rsidP="002665C6">
            <w:pPr>
              <w:jc w:val="center"/>
              <w:rPr>
                <w:rFonts w:ascii="Titillium Web" w:hAnsi="Titillium Web"/>
                <w:szCs w:val="24"/>
              </w:rPr>
            </w:pPr>
            <w:r w:rsidRPr="0005504B">
              <w:rPr>
                <w:rFonts w:ascii="Titillium Web" w:hAnsi="Titillium Web"/>
                <w:szCs w:val="24"/>
              </w:rPr>
              <w:t>1924</w:t>
            </w:r>
          </w:p>
        </w:tc>
      </w:tr>
      <w:tr w:rsidR="0086297F" w:rsidRPr="0005504B" w14:paraId="3B6B9C62" w14:textId="77777777" w:rsidTr="002665C6">
        <w:trPr>
          <w:jc w:val="center"/>
        </w:trPr>
        <w:tc>
          <w:tcPr>
            <w:tcW w:w="1650" w:type="pct"/>
            <w:vAlign w:val="center"/>
          </w:tcPr>
          <w:p w14:paraId="2D01D888" w14:textId="77777777" w:rsidR="0086297F" w:rsidRPr="0005504B" w:rsidRDefault="0086297F" w:rsidP="002665C6">
            <w:pPr>
              <w:jc w:val="center"/>
              <w:rPr>
                <w:rFonts w:ascii="Titillium Web" w:hAnsi="Titillium Web"/>
                <w:smallCaps/>
                <w:szCs w:val="24"/>
              </w:rPr>
            </w:pPr>
            <w:r w:rsidRPr="0005504B">
              <w:rPr>
                <w:rFonts w:ascii="Titillium Web" w:hAnsi="Titillium Web"/>
                <w:smallCaps/>
                <w:szCs w:val="24"/>
              </w:rPr>
              <w:t>Stato di conservazione della tomba</w:t>
            </w:r>
          </w:p>
        </w:tc>
        <w:tc>
          <w:tcPr>
            <w:tcW w:w="3350" w:type="pct"/>
            <w:vAlign w:val="center"/>
          </w:tcPr>
          <w:p w14:paraId="3ADC95CD" w14:textId="31719CCD" w:rsidR="0086297F" w:rsidRPr="0005504B" w:rsidRDefault="0086297F" w:rsidP="002665C6">
            <w:pPr>
              <w:jc w:val="center"/>
              <w:rPr>
                <w:rFonts w:ascii="Titillium Web" w:hAnsi="Titillium Web"/>
                <w:szCs w:val="24"/>
              </w:rPr>
            </w:pPr>
            <w:r w:rsidRPr="0005504B">
              <w:rPr>
                <w:rFonts w:ascii="Titillium Web" w:hAnsi="Titillium Web"/>
                <w:szCs w:val="24"/>
              </w:rPr>
              <w:t>Intatta</w:t>
            </w:r>
          </w:p>
        </w:tc>
      </w:tr>
      <w:tr w:rsidR="0086297F" w:rsidRPr="0005504B" w14:paraId="3D165E1E" w14:textId="77777777" w:rsidTr="002665C6">
        <w:trPr>
          <w:jc w:val="center"/>
        </w:trPr>
        <w:tc>
          <w:tcPr>
            <w:tcW w:w="1650" w:type="pct"/>
            <w:vAlign w:val="center"/>
          </w:tcPr>
          <w:p w14:paraId="2A5B3D4F" w14:textId="77777777" w:rsidR="0086297F" w:rsidRPr="0005504B" w:rsidRDefault="0086297F" w:rsidP="002665C6">
            <w:pPr>
              <w:jc w:val="center"/>
              <w:rPr>
                <w:rFonts w:ascii="Titillium Web" w:hAnsi="Titillium Web"/>
                <w:smallCaps/>
                <w:szCs w:val="24"/>
              </w:rPr>
            </w:pPr>
            <w:r w:rsidRPr="0005504B">
              <w:rPr>
                <w:rFonts w:ascii="Titillium Web" w:hAnsi="Titillium Web"/>
                <w:smallCaps/>
                <w:szCs w:val="24"/>
              </w:rPr>
              <w:t>Rito di seppellimento</w:t>
            </w:r>
          </w:p>
        </w:tc>
        <w:tc>
          <w:tcPr>
            <w:tcW w:w="3350" w:type="pct"/>
            <w:vAlign w:val="center"/>
          </w:tcPr>
          <w:p w14:paraId="094BD426" w14:textId="6E99443A" w:rsidR="0086297F" w:rsidRPr="0005504B" w:rsidRDefault="0086297F" w:rsidP="002665C6">
            <w:pPr>
              <w:jc w:val="center"/>
              <w:rPr>
                <w:rFonts w:ascii="Titillium Web" w:hAnsi="Titillium Web"/>
                <w:szCs w:val="24"/>
              </w:rPr>
            </w:pPr>
            <w:r w:rsidRPr="0005504B">
              <w:rPr>
                <w:rFonts w:ascii="Titillium Web" w:hAnsi="Titillium Web"/>
                <w:szCs w:val="24"/>
              </w:rPr>
              <w:t>cremazione</w:t>
            </w:r>
          </w:p>
        </w:tc>
      </w:tr>
      <w:tr w:rsidR="0086297F" w:rsidRPr="0005504B" w14:paraId="44CADBCB" w14:textId="77777777" w:rsidTr="002665C6">
        <w:trPr>
          <w:jc w:val="center"/>
        </w:trPr>
        <w:tc>
          <w:tcPr>
            <w:tcW w:w="1650" w:type="pct"/>
            <w:vAlign w:val="center"/>
          </w:tcPr>
          <w:p w14:paraId="1E25741A" w14:textId="77777777" w:rsidR="0086297F" w:rsidRPr="0005504B" w:rsidRDefault="0086297F" w:rsidP="002665C6">
            <w:pPr>
              <w:jc w:val="center"/>
              <w:rPr>
                <w:rFonts w:ascii="Titillium Web" w:hAnsi="Titillium Web"/>
                <w:smallCaps/>
                <w:szCs w:val="24"/>
              </w:rPr>
            </w:pPr>
            <w:r w:rsidRPr="0005504B">
              <w:rPr>
                <w:rFonts w:ascii="Titillium Web" w:hAnsi="Titillium Web"/>
                <w:smallCaps/>
                <w:szCs w:val="24"/>
              </w:rPr>
              <w:t>Struttura tomba</w:t>
            </w:r>
          </w:p>
        </w:tc>
        <w:tc>
          <w:tcPr>
            <w:tcW w:w="3350" w:type="pct"/>
            <w:vAlign w:val="center"/>
          </w:tcPr>
          <w:p w14:paraId="1DE3BCB3" w14:textId="08DB6A85" w:rsidR="0086297F" w:rsidRPr="0005504B" w:rsidRDefault="0086297F" w:rsidP="002665C6">
            <w:pPr>
              <w:jc w:val="center"/>
              <w:rPr>
                <w:rFonts w:ascii="Titillium Web" w:hAnsi="Titillium Web"/>
                <w:szCs w:val="24"/>
              </w:rPr>
            </w:pPr>
            <w:r w:rsidRPr="0005504B">
              <w:rPr>
                <w:rFonts w:ascii="Titillium Web" w:hAnsi="Titillium Web"/>
                <w:szCs w:val="24"/>
              </w:rPr>
              <w:t>pozzetto semplice</w:t>
            </w:r>
          </w:p>
        </w:tc>
      </w:tr>
      <w:tr w:rsidR="0086297F" w:rsidRPr="0005504B" w14:paraId="47E1F943" w14:textId="77777777" w:rsidTr="002665C6">
        <w:trPr>
          <w:jc w:val="center"/>
        </w:trPr>
        <w:tc>
          <w:tcPr>
            <w:tcW w:w="1650" w:type="pct"/>
            <w:vAlign w:val="center"/>
          </w:tcPr>
          <w:p w14:paraId="355EE080" w14:textId="77777777" w:rsidR="0086297F" w:rsidRPr="0005504B" w:rsidRDefault="0086297F" w:rsidP="002665C6">
            <w:pPr>
              <w:jc w:val="center"/>
              <w:rPr>
                <w:rFonts w:ascii="Titillium Web" w:hAnsi="Titillium Web"/>
                <w:smallCaps/>
                <w:szCs w:val="24"/>
              </w:rPr>
            </w:pPr>
            <w:r w:rsidRPr="0005504B">
              <w:rPr>
                <w:rFonts w:ascii="Titillium Web" w:hAnsi="Titillium Web"/>
                <w:smallCaps/>
                <w:szCs w:val="24"/>
              </w:rPr>
              <w:t xml:space="preserve">Profondità dal piano di campagna </w:t>
            </w:r>
          </w:p>
        </w:tc>
        <w:tc>
          <w:tcPr>
            <w:tcW w:w="3350" w:type="pct"/>
            <w:vAlign w:val="center"/>
          </w:tcPr>
          <w:p w14:paraId="13D75B9B" w14:textId="6492371F" w:rsidR="0086297F" w:rsidRPr="0005504B" w:rsidRDefault="0086297F" w:rsidP="002665C6">
            <w:pPr>
              <w:jc w:val="center"/>
              <w:rPr>
                <w:rFonts w:ascii="Titillium Web" w:hAnsi="Titillium Web"/>
                <w:szCs w:val="24"/>
              </w:rPr>
            </w:pPr>
            <w:r w:rsidRPr="0005504B">
              <w:rPr>
                <w:rFonts w:ascii="Titillium Web" w:hAnsi="Titillium Web"/>
                <w:szCs w:val="24"/>
              </w:rPr>
              <w:t>1,05 m</w:t>
            </w:r>
          </w:p>
        </w:tc>
      </w:tr>
      <w:tr w:rsidR="0086297F" w:rsidRPr="0005504B" w14:paraId="75BC79FE" w14:textId="77777777" w:rsidTr="002665C6">
        <w:trPr>
          <w:jc w:val="center"/>
        </w:trPr>
        <w:tc>
          <w:tcPr>
            <w:tcW w:w="1650" w:type="pct"/>
            <w:vAlign w:val="center"/>
          </w:tcPr>
          <w:p w14:paraId="432462C5" w14:textId="77777777" w:rsidR="0086297F" w:rsidRPr="0005504B" w:rsidRDefault="0086297F" w:rsidP="002665C6">
            <w:pPr>
              <w:jc w:val="center"/>
              <w:rPr>
                <w:rFonts w:ascii="Titillium Web" w:hAnsi="Titillium Web"/>
                <w:smallCaps/>
                <w:szCs w:val="24"/>
              </w:rPr>
            </w:pPr>
            <w:r w:rsidRPr="0005504B">
              <w:rPr>
                <w:rFonts w:ascii="Titillium Web" w:hAnsi="Titillium Web"/>
                <w:smallCaps/>
                <w:szCs w:val="24"/>
              </w:rPr>
              <w:t>Dimensioni della sepoltura</w:t>
            </w:r>
          </w:p>
        </w:tc>
        <w:tc>
          <w:tcPr>
            <w:tcW w:w="3350" w:type="pct"/>
            <w:vAlign w:val="center"/>
          </w:tcPr>
          <w:p w14:paraId="65EDFAD4" w14:textId="5859930D" w:rsidR="0086297F" w:rsidRPr="0005504B" w:rsidRDefault="0086297F" w:rsidP="002665C6">
            <w:pPr>
              <w:jc w:val="center"/>
              <w:rPr>
                <w:rFonts w:ascii="Titillium Web" w:hAnsi="Titillium Web"/>
                <w:szCs w:val="24"/>
              </w:rPr>
            </w:pPr>
            <w:r w:rsidRPr="0005504B">
              <w:rPr>
                <w:rFonts w:ascii="Titillium Web" w:hAnsi="Titillium Web"/>
                <w:szCs w:val="24"/>
              </w:rPr>
              <w:t>Dimensioni non registrate</w:t>
            </w:r>
          </w:p>
        </w:tc>
      </w:tr>
      <w:tr w:rsidR="0086297F" w:rsidRPr="0005504B" w14:paraId="35E5C09E" w14:textId="77777777" w:rsidTr="002665C6">
        <w:trPr>
          <w:jc w:val="center"/>
        </w:trPr>
        <w:tc>
          <w:tcPr>
            <w:tcW w:w="1650" w:type="pct"/>
            <w:vAlign w:val="center"/>
          </w:tcPr>
          <w:p w14:paraId="5AA10374" w14:textId="77777777" w:rsidR="0086297F" w:rsidRPr="0005504B" w:rsidRDefault="0086297F" w:rsidP="002665C6">
            <w:pPr>
              <w:jc w:val="center"/>
              <w:rPr>
                <w:rFonts w:ascii="Titillium Web" w:hAnsi="Titillium Web"/>
                <w:smallCaps/>
                <w:szCs w:val="24"/>
              </w:rPr>
            </w:pPr>
            <w:r w:rsidRPr="0005504B">
              <w:rPr>
                <w:rFonts w:ascii="Titillium Web" w:hAnsi="Titillium Web"/>
                <w:smallCaps/>
                <w:szCs w:val="24"/>
              </w:rPr>
              <w:t>Orientamento dello scheletro</w:t>
            </w:r>
          </w:p>
        </w:tc>
        <w:tc>
          <w:tcPr>
            <w:tcW w:w="3350" w:type="pct"/>
            <w:vAlign w:val="center"/>
          </w:tcPr>
          <w:p w14:paraId="6E0E4E7B" w14:textId="7F6B3E0C" w:rsidR="0086297F" w:rsidRPr="0005504B" w:rsidRDefault="0086297F" w:rsidP="002665C6">
            <w:pPr>
              <w:jc w:val="center"/>
              <w:rPr>
                <w:rFonts w:ascii="Titillium Web" w:hAnsi="Titillium Web"/>
                <w:szCs w:val="24"/>
              </w:rPr>
            </w:pPr>
            <w:r w:rsidRPr="0005504B">
              <w:rPr>
                <w:rFonts w:ascii="Titillium Web" w:hAnsi="Titillium Web"/>
                <w:szCs w:val="24"/>
              </w:rPr>
              <w:t>/</w:t>
            </w:r>
          </w:p>
        </w:tc>
      </w:tr>
      <w:tr w:rsidR="0086297F" w:rsidRPr="0005504B" w14:paraId="71236441" w14:textId="77777777" w:rsidTr="002665C6">
        <w:trPr>
          <w:jc w:val="center"/>
        </w:trPr>
        <w:tc>
          <w:tcPr>
            <w:tcW w:w="1650" w:type="pct"/>
            <w:vAlign w:val="center"/>
          </w:tcPr>
          <w:p w14:paraId="4A1B31A8" w14:textId="77777777" w:rsidR="0086297F" w:rsidRPr="0005504B" w:rsidRDefault="0086297F" w:rsidP="002665C6">
            <w:pPr>
              <w:jc w:val="center"/>
              <w:rPr>
                <w:rFonts w:ascii="Titillium Web" w:hAnsi="Titillium Web"/>
                <w:smallCaps/>
                <w:szCs w:val="24"/>
              </w:rPr>
            </w:pPr>
            <w:r w:rsidRPr="0005504B">
              <w:rPr>
                <w:rFonts w:ascii="Titillium Web" w:hAnsi="Titillium Web"/>
                <w:smallCaps/>
                <w:szCs w:val="24"/>
              </w:rPr>
              <w:t>Segnacolo</w:t>
            </w:r>
          </w:p>
        </w:tc>
        <w:tc>
          <w:tcPr>
            <w:tcW w:w="3350" w:type="pct"/>
            <w:vAlign w:val="center"/>
          </w:tcPr>
          <w:p w14:paraId="104CE615" w14:textId="50385AE1" w:rsidR="0086297F" w:rsidRPr="0005504B" w:rsidRDefault="0086297F" w:rsidP="002665C6">
            <w:pPr>
              <w:jc w:val="center"/>
              <w:rPr>
                <w:rFonts w:ascii="Titillium Web" w:hAnsi="Titillium Web"/>
                <w:szCs w:val="24"/>
              </w:rPr>
            </w:pPr>
            <w:r w:rsidRPr="0005504B">
              <w:rPr>
                <w:rFonts w:ascii="Titillium Web" w:hAnsi="Titillium Web"/>
                <w:szCs w:val="24"/>
              </w:rPr>
              <w:t>/</w:t>
            </w:r>
          </w:p>
        </w:tc>
      </w:tr>
      <w:tr w:rsidR="0086297F" w:rsidRPr="0005504B" w14:paraId="6D6CBA71" w14:textId="77777777" w:rsidTr="002665C6">
        <w:trPr>
          <w:jc w:val="center"/>
        </w:trPr>
        <w:tc>
          <w:tcPr>
            <w:tcW w:w="1650" w:type="pct"/>
            <w:vAlign w:val="center"/>
          </w:tcPr>
          <w:p w14:paraId="75CA0D64" w14:textId="77777777" w:rsidR="0086297F" w:rsidRPr="0005504B" w:rsidRDefault="0086297F" w:rsidP="002665C6">
            <w:pPr>
              <w:jc w:val="center"/>
              <w:rPr>
                <w:rFonts w:ascii="Titillium Web" w:hAnsi="Titillium Web"/>
                <w:smallCaps/>
                <w:szCs w:val="24"/>
              </w:rPr>
            </w:pPr>
            <w:r w:rsidRPr="0005504B">
              <w:rPr>
                <w:rFonts w:ascii="Titillium Web" w:hAnsi="Titillium Web"/>
                <w:smallCaps/>
                <w:szCs w:val="24"/>
              </w:rPr>
              <w:t>Giornale di scavo</w:t>
            </w:r>
          </w:p>
        </w:tc>
        <w:tc>
          <w:tcPr>
            <w:tcW w:w="3350" w:type="pct"/>
            <w:vAlign w:val="center"/>
          </w:tcPr>
          <w:p w14:paraId="244BDEC5" w14:textId="77777777" w:rsidR="008B104A" w:rsidRPr="0005504B" w:rsidRDefault="00B470F2">
            <w:pPr>
              <w:rPr>
                <w:rFonts w:ascii="Titillium Web" w:hAnsi="Titillium Web"/>
                <w:i/>
                <w:iCs/>
                <w:szCs w:val="24"/>
              </w:rPr>
            </w:pPr>
            <w:r w:rsidRPr="0005504B">
              <w:rPr>
                <w:rFonts w:ascii="Titillium Web" w:hAnsi="Titillium Web"/>
                <w:i/>
                <w:iCs/>
                <w:szCs w:val="24"/>
              </w:rPr>
              <w:t>Tomba 223 – a cremazione</w:t>
            </w:r>
          </w:p>
          <w:p w14:paraId="0DADE198" w14:textId="77777777" w:rsidR="008B104A" w:rsidRPr="0005504B" w:rsidRDefault="00B470F2">
            <w:pPr>
              <w:rPr>
                <w:rFonts w:ascii="Titillium Web" w:hAnsi="Titillium Web"/>
                <w:i/>
                <w:iCs/>
                <w:szCs w:val="24"/>
              </w:rPr>
            </w:pPr>
            <w:r w:rsidRPr="0005504B">
              <w:rPr>
                <w:rFonts w:ascii="Titillium Web" w:hAnsi="Titillium Web"/>
                <w:i/>
                <w:iCs/>
                <w:szCs w:val="24"/>
              </w:rPr>
              <w:t>A m. 1,60 a ponente della precedente e a m. 1,05 di profondità poggiava:</w:t>
            </w:r>
          </w:p>
          <w:p w14:paraId="62B43645" w14:textId="77777777" w:rsidR="008B104A" w:rsidRPr="0005504B" w:rsidRDefault="00B470F2">
            <w:pPr>
              <w:rPr>
                <w:rFonts w:ascii="Titillium Web" w:hAnsi="Titillium Web"/>
                <w:i/>
                <w:iCs/>
                <w:szCs w:val="24"/>
              </w:rPr>
            </w:pPr>
            <w:r w:rsidRPr="0005504B">
              <w:rPr>
                <w:rFonts w:ascii="Titillium Web" w:hAnsi="Titillium Web"/>
                <w:i/>
                <w:iCs/>
                <w:szCs w:val="24"/>
              </w:rPr>
              <w:t>1 grande doliaccio di argilla rosso bruno; male cotto e completamente marcito. Il dolio era alto m. 0,82, a forma di skyfos e conteneva: (non raccolto)</w:t>
            </w:r>
          </w:p>
          <w:p w14:paraId="3692DBCB" w14:textId="77777777" w:rsidR="008B104A" w:rsidRPr="0005504B" w:rsidRDefault="00B470F2">
            <w:pPr>
              <w:rPr>
                <w:rFonts w:ascii="Titillium Web" w:hAnsi="Titillium Web"/>
                <w:i/>
                <w:iCs/>
                <w:szCs w:val="24"/>
              </w:rPr>
            </w:pPr>
            <w:r w:rsidRPr="0005504B">
              <w:rPr>
                <w:rFonts w:ascii="Titillium Web" w:hAnsi="Titillium Web"/>
                <w:i/>
                <w:iCs/>
                <w:szCs w:val="24"/>
              </w:rPr>
              <w:t>1 kelebe a colonnette, intera, a fig. rosse su fondo nero; manca di parte del piede ed ha un buco di rottura in una delle faccie. È alta m. 0,30.</w:t>
            </w:r>
          </w:p>
          <w:p w14:paraId="3B06D5B6" w14:textId="77777777" w:rsidR="008B104A" w:rsidRPr="0005504B" w:rsidRDefault="00B470F2">
            <w:pPr>
              <w:rPr>
                <w:rFonts w:ascii="Titillium Web" w:hAnsi="Titillium Web"/>
                <w:i/>
                <w:iCs/>
                <w:szCs w:val="24"/>
              </w:rPr>
            </w:pPr>
            <w:r w:rsidRPr="0005504B">
              <w:rPr>
                <w:rFonts w:ascii="Titillium Web" w:hAnsi="Titillium Web"/>
                <w:i/>
                <w:iCs/>
                <w:szCs w:val="24"/>
              </w:rPr>
              <w:t>In una delle facce è disegnata una figura di donna di profilo, che incede verso sinistra ed il viso di profilo si volta verso destra. Ha nella sinistra il tirso. Le pieghe del manto sono bene disegnate e la figura è priva di movimento. Dall’altra parte: una figura di sileno nudo che cammina a destra ma ha la testa rivolta a sinistra, ha nella mano d. il corno potorio e nella sinistra una anfora.</w:t>
            </w:r>
          </w:p>
          <w:p w14:paraId="10416E3A" w14:textId="77777777" w:rsidR="008B104A" w:rsidRPr="0005504B" w:rsidRDefault="00B470F2">
            <w:pPr>
              <w:rPr>
                <w:rFonts w:ascii="Titillium Web" w:hAnsi="Titillium Web"/>
                <w:i/>
                <w:iCs/>
                <w:szCs w:val="24"/>
              </w:rPr>
            </w:pPr>
            <w:r w:rsidRPr="0005504B">
              <w:rPr>
                <w:rFonts w:ascii="Titillium Web" w:hAnsi="Titillium Web"/>
                <w:i/>
                <w:iCs/>
                <w:szCs w:val="24"/>
              </w:rPr>
              <w:t>Anche questa figura è bene disegnata e priva di movimento.</w:t>
            </w:r>
          </w:p>
          <w:p w14:paraId="392E6902" w14:textId="77777777" w:rsidR="008B104A" w:rsidRPr="0005504B" w:rsidRDefault="00B470F2">
            <w:pPr>
              <w:rPr>
                <w:rFonts w:ascii="Titillium Web" w:hAnsi="Titillium Web"/>
                <w:i/>
                <w:iCs/>
                <w:szCs w:val="24"/>
              </w:rPr>
            </w:pPr>
            <w:r w:rsidRPr="0005504B">
              <w:rPr>
                <w:rFonts w:ascii="Titillium Web" w:hAnsi="Titillium Web"/>
                <w:i/>
                <w:iCs/>
                <w:szCs w:val="24"/>
              </w:rPr>
              <w:t>Sotto alla kelebe in fondo al dolio erano:</w:t>
            </w:r>
          </w:p>
          <w:p w14:paraId="447F4592" w14:textId="77777777" w:rsidR="008B104A" w:rsidRPr="0005504B" w:rsidRDefault="00B470F2">
            <w:pPr>
              <w:rPr>
                <w:rFonts w:ascii="Titillium Web" w:hAnsi="Titillium Web"/>
                <w:i/>
                <w:iCs/>
                <w:szCs w:val="24"/>
              </w:rPr>
            </w:pPr>
            <w:r w:rsidRPr="0005504B">
              <w:rPr>
                <w:rFonts w:ascii="Titillium Web" w:hAnsi="Titillium Web"/>
                <w:i/>
                <w:iCs/>
                <w:szCs w:val="24"/>
              </w:rPr>
              <w:t>2 oinocoi a ver. n. di forma allungata, con bocca circolare e ansa verticale. Uno è in pezzi; l’intero misura m. 0,265 di altezza.</w:t>
            </w:r>
          </w:p>
          <w:p w14:paraId="619CD5B1" w14:textId="77777777" w:rsidR="008B104A" w:rsidRPr="0005504B" w:rsidRDefault="00B470F2">
            <w:pPr>
              <w:rPr>
                <w:rFonts w:ascii="Titillium Web" w:hAnsi="Titillium Web"/>
                <w:i/>
                <w:iCs/>
                <w:szCs w:val="24"/>
              </w:rPr>
            </w:pPr>
            <w:r w:rsidRPr="0005504B">
              <w:rPr>
                <w:rFonts w:ascii="Titillium Web" w:hAnsi="Titillium Web"/>
                <w:i/>
                <w:iCs/>
                <w:szCs w:val="24"/>
              </w:rPr>
              <w:t>1 skyfos piccolino, alto 0,09 a vern. nera con una ansa orizzontale (solita negli skyfos) e l’altra ansa ad anello. È intero.</w:t>
            </w:r>
          </w:p>
          <w:p w14:paraId="58BED778" w14:textId="77777777" w:rsidR="008B104A" w:rsidRPr="0005504B" w:rsidRDefault="00B470F2">
            <w:pPr>
              <w:rPr>
                <w:rFonts w:ascii="Titillium Web" w:hAnsi="Titillium Web"/>
                <w:i/>
                <w:iCs/>
                <w:szCs w:val="24"/>
              </w:rPr>
            </w:pPr>
            <w:r w:rsidRPr="0005504B">
              <w:rPr>
                <w:rFonts w:ascii="Titillium Web" w:hAnsi="Titillium Web"/>
                <w:i/>
                <w:iCs/>
                <w:szCs w:val="24"/>
              </w:rPr>
              <w:t>Nel fondo del dolio erano le ossa combuste. Del dolio non fu possibile raccogliere alcun frammento.</w:t>
            </w:r>
          </w:p>
        </w:tc>
      </w:tr>
      <w:tr w:rsidR="0086297F" w:rsidRPr="0005504B" w14:paraId="1429C2F3" w14:textId="77777777" w:rsidTr="002665C6">
        <w:trPr>
          <w:jc w:val="center"/>
        </w:trPr>
        <w:tc>
          <w:tcPr>
            <w:tcW w:w="1650" w:type="pct"/>
            <w:vAlign w:val="center"/>
          </w:tcPr>
          <w:p w14:paraId="7F398080" w14:textId="77777777" w:rsidR="0086297F" w:rsidRPr="0005504B" w:rsidRDefault="0086297F" w:rsidP="002665C6">
            <w:pPr>
              <w:jc w:val="center"/>
              <w:rPr>
                <w:rFonts w:ascii="Titillium Web" w:hAnsi="Titillium Web"/>
                <w:smallCaps/>
                <w:szCs w:val="24"/>
              </w:rPr>
            </w:pPr>
            <w:r w:rsidRPr="0005504B">
              <w:rPr>
                <w:rFonts w:ascii="Titillium Web" w:hAnsi="Titillium Web"/>
                <w:smallCaps/>
                <w:szCs w:val="24"/>
              </w:rPr>
              <w:t>Posizione del corredo</w:t>
            </w:r>
          </w:p>
        </w:tc>
        <w:tc>
          <w:tcPr>
            <w:tcW w:w="3350" w:type="pct"/>
            <w:vAlign w:val="center"/>
          </w:tcPr>
          <w:p w14:paraId="5C03ADA7" w14:textId="7BF3AD8D" w:rsidR="0086297F" w:rsidRPr="0005504B" w:rsidRDefault="0086297F" w:rsidP="002665C6">
            <w:pPr>
              <w:jc w:val="center"/>
              <w:rPr>
                <w:rFonts w:ascii="Titillium Web" w:hAnsi="Titillium Web"/>
                <w:szCs w:val="24"/>
              </w:rPr>
            </w:pPr>
            <w:r w:rsidRPr="0005504B">
              <w:rPr>
                <w:rFonts w:ascii="Titillium Web" w:hAnsi="Titillium Web"/>
                <w:szCs w:val="24"/>
              </w:rPr>
              <w:t>Dentro il cinerario</w:t>
            </w:r>
          </w:p>
        </w:tc>
      </w:tr>
      <w:tr w:rsidR="0086297F" w:rsidRPr="0005504B" w14:paraId="71A0E4AF" w14:textId="77777777" w:rsidTr="002665C6">
        <w:trPr>
          <w:jc w:val="center"/>
        </w:trPr>
        <w:tc>
          <w:tcPr>
            <w:tcW w:w="1650" w:type="pct"/>
            <w:vAlign w:val="center"/>
          </w:tcPr>
          <w:p w14:paraId="2128B19B" w14:textId="77777777" w:rsidR="0086297F" w:rsidRPr="0005504B" w:rsidRDefault="0086297F" w:rsidP="002665C6">
            <w:pPr>
              <w:jc w:val="center"/>
              <w:rPr>
                <w:rFonts w:ascii="Titillium Web" w:hAnsi="Titillium Web"/>
                <w:smallCaps/>
                <w:szCs w:val="24"/>
              </w:rPr>
            </w:pPr>
            <w:r w:rsidRPr="0005504B">
              <w:rPr>
                <w:rFonts w:ascii="Titillium Web" w:hAnsi="Titillium Web"/>
                <w:smallCaps/>
                <w:szCs w:val="24"/>
              </w:rPr>
              <w:lastRenderedPageBreak/>
              <w:t>Genere (legato all’analisi del corredo)</w:t>
            </w:r>
          </w:p>
        </w:tc>
        <w:tc>
          <w:tcPr>
            <w:tcW w:w="3350" w:type="pct"/>
            <w:vAlign w:val="center"/>
          </w:tcPr>
          <w:p w14:paraId="31324C2B" w14:textId="4E55E405" w:rsidR="0086297F" w:rsidRPr="0005504B" w:rsidRDefault="0086297F" w:rsidP="002665C6">
            <w:pPr>
              <w:jc w:val="center"/>
              <w:rPr>
                <w:rFonts w:ascii="Titillium Web" w:hAnsi="Titillium Web"/>
                <w:szCs w:val="24"/>
              </w:rPr>
            </w:pPr>
            <w:r w:rsidRPr="0005504B">
              <w:rPr>
                <w:rFonts w:ascii="Titillium Web" w:hAnsi="Titillium Web"/>
                <w:szCs w:val="24"/>
              </w:rPr>
              <w:t>Non determinabile</w:t>
            </w:r>
          </w:p>
        </w:tc>
      </w:tr>
      <w:tr w:rsidR="0086297F" w:rsidRPr="0005504B" w14:paraId="17633947" w14:textId="77777777" w:rsidTr="002665C6">
        <w:trPr>
          <w:jc w:val="center"/>
        </w:trPr>
        <w:tc>
          <w:tcPr>
            <w:tcW w:w="1650" w:type="pct"/>
            <w:vAlign w:val="center"/>
          </w:tcPr>
          <w:p w14:paraId="44721053" w14:textId="77777777" w:rsidR="0086297F" w:rsidRPr="0005504B" w:rsidRDefault="0086297F" w:rsidP="002665C6">
            <w:pPr>
              <w:jc w:val="center"/>
              <w:rPr>
                <w:rFonts w:ascii="Titillium Web" w:hAnsi="Titillium Web"/>
                <w:smallCaps/>
                <w:szCs w:val="24"/>
              </w:rPr>
            </w:pPr>
            <w:r w:rsidRPr="0005504B">
              <w:rPr>
                <w:rFonts w:ascii="Titillium Web" w:hAnsi="Titillium Web"/>
                <w:smallCaps/>
                <w:szCs w:val="24"/>
              </w:rPr>
              <w:t>Sesso (legato alle analisi antropologiche)</w:t>
            </w:r>
          </w:p>
        </w:tc>
        <w:tc>
          <w:tcPr>
            <w:tcW w:w="3350" w:type="pct"/>
            <w:vAlign w:val="center"/>
          </w:tcPr>
          <w:p w14:paraId="66E918A4" w14:textId="50197FF0" w:rsidR="0086297F" w:rsidRPr="0005504B" w:rsidRDefault="0086297F" w:rsidP="002665C6">
            <w:pPr>
              <w:jc w:val="center"/>
              <w:rPr>
                <w:rFonts w:ascii="Titillium Web" w:hAnsi="Titillium Web"/>
                <w:szCs w:val="24"/>
              </w:rPr>
            </w:pPr>
            <w:r w:rsidRPr="0005504B">
              <w:rPr>
                <w:rFonts w:ascii="Titillium Web" w:hAnsi="Titillium Web"/>
                <w:szCs w:val="24"/>
              </w:rPr>
              <w:t>Non determinabile</w:t>
            </w:r>
          </w:p>
        </w:tc>
      </w:tr>
      <w:tr w:rsidR="0086297F" w:rsidRPr="0005504B" w14:paraId="0588946D" w14:textId="77777777" w:rsidTr="002665C6">
        <w:trPr>
          <w:jc w:val="center"/>
        </w:trPr>
        <w:tc>
          <w:tcPr>
            <w:tcW w:w="1650" w:type="pct"/>
            <w:vAlign w:val="center"/>
          </w:tcPr>
          <w:p w14:paraId="54990945" w14:textId="77777777" w:rsidR="0086297F" w:rsidRPr="0005504B" w:rsidRDefault="0086297F" w:rsidP="002665C6">
            <w:pPr>
              <w:jc w:val="center"/>
              <w:rPr>
                <w:rFonts w:ascii="Titillium Web" w:hAnsi="Titillium Web"/>
                <w:smallCaps/>
                <w:szCs w:val="24"/>
              </w:rPr>
            </w:pPr>
            <w:r w:rsidRPr="0005504B">
              <w:rPr>
                <w:rFonts w:ascii="Titillium Web" w:hAnsi="Titillium Web"/>
                <w:smallCaps/>
                <w:szCs w:val="24"/>
              </w:rPr>
              <w:t>Classi di età</w:t>
            </w:r>
          </w:p>
        </w:tc>
        <w:tc>
          <w:tcPr>
            <w:tcW w:w="3350" w:type="pct"/>
            <w:vAlign w:val="center"/>
          </w:tcPr>
          <w:p w14:paraId="0E0589EA" w14:textId="7D4DF825" w:rsidR="0086297F" w:rsidRPr="0005504B" w:rsidRDefault="0086297F" w:rsidP="002665C6">
            <w:pPr>
              <w:jc w:val="center"/>
              <w:rPr>
                <w:rFonts w:ascii="Titillium Web" w:hAnsi="Titillium Web"/>
                <w:szCs w:val="24"/>
              </w:rPr>
            </w:pPr>
            <w:r w:rsidRPr="0005504B">
              <w:rPr>
                <w:rFonts w:ascii="Titillium Web" w:hAnsi="Titillium Web"/>
                <w:szCs w:val="24"/>
              </w:rPr>
              <w:t>Non determinabile</w:t>
            </w:r>
          </w:p>
        </w:tc>
      </w:tr>
      <w:tr w:rsidR="0086297F" w:rsidRPr="0005504B" w14:paraId="1FFA88A1" w14:textId="77777777" w:rsidTr="002665C6">
        <w:trPr>
          <w:jc w:val="center"/>
        </w:trPr>
        <w:tc>
          <w:tcPr>
            <w:tcW w:w="1650" w:type="pct"/>
            <w:vAlign w:val="center"/>
          </w:tcPr>
          <w:p w14:paraId="63B2D8D6" w14:textId="77777777" w:rsidR="0086297F" w:rsidRPr="0005504B" w:rsidRDefault="0086297F" w:rsidP="002665C6">
            <w:pPr>
              <w:jc w:val="center"/>
              <w:rPr>
                <w:rFonts w:ascii="Titillium Web" w:hAnsi="Titillium Web"/>
                <w:smallCaps/>
                <w:szCs w:val="24"/>
              </w:rPr>
            </w:pPr>
            <w:r w:rsidRPr="0005504B">
              <w:rPr>
                <w:rFonts w:ascii="Titillium Web" w:hAnsi="Titillium Web"/>
                <w:smallCaps/>
                <w:szCs w:val="24"/>
              </w:rPr>
              <w:t>Bibliografia essenziale</w:t>
            </w:r>
          </w:p>
        </w:tc>
        <w:tc>
          <w:tcPr>
            <w:tcW w:w="3350" w:type="pct"/>
            <w:vAlign w:val="center"/>
          </w:tcPr>
          <w:p w14:paraId="2C5CED36" w14:textId="77777777" w:rsidR="008B104A" w:rsidRPr="0005504B" w:rsidRDefault="00B470F2" w:rsidP="0005504B">
            <w:pPr>
              <w:jc w:val="center"/>
              <w:rPr>
                <w:rFonts w:ascii="Titillium Web" w:hAnsi="Titillium Web"/>
                <w:szCs w:val="24"/>
              </w:rPr>
            </w:pPr>
            <w:r w:rsidRPr="0005504B">
              <w:rPr>
                <w:rFonts w:ascii="Titillium Web" w:eastAsia="Titillium" w:hAnsi="Titillium Web" w:cs="Titillium"/>
                <w:smallCaps/>
                <w:szCs w:val="24"/>
              </w:rPr>
              <w:t>Romagnoli</w:t>
            </w:r>
            <w:r w:rsidRPr="0005504B">
              <w:rPr>
                <w:rFonts w:ascii="Titillium Web" w:eastAsia="Titillium" w:hAnsi="Titillium Web" w:cs="Titillium"/>
                <w:szCs w:val="24"/>
              </w:rPr>
              <w:t xml:space="preserve"> 2015; </w:t>
            </w:r>
            <w:r w:rsidRPr="0005504B">
              <w:rPr>
                <w:rFonts w:ascii="Titillium Web" w:eastAsia="Titillium" w:hAnsi="Titillium Web" w:cs="Titillium"/>
                <w:smallCaps/>
                <w:szCs w:val="24"/>
              </w:rPr>
              <w:t>Trevisanello</w:t>
            </w:r>
            <w:r w:rsidRPr="0005504B">
              <w:rPr>
                <w:rFonts w:ascii="Titillium Web" w:eastAsia="Titillium" w:hAnsi="Titillium Web" w:cs="Titillium"/>
                <w:szCs w:val="24"/>
              </w:rPr>
              <w:t xml:space="preserve"> in </w:t>
            </w:r>
            <w:r w:rsidRPr="0005504B">
              <w:rPr>
                <w:rFonts w:ascii="Titillium Web" w:eastAsia="Titillium" w:hAnsi="Titillium Web" w:cs="Titillium"/>
                <w:i/>
                <w:iCs/>
                <w:szCs w:val="24"/>
              </w:rPr>
              <w:t>Spina</w:t>
            </w:r>
            <w:r w:rsidRPr="0005504B">
              <w:rPr>
                <w:rFonts w:ascii="Titillium Web" w:eastAsia="Titillium" w:hAnsi="Titillium Web" w:cs="Titillium"/>
                <w:szCs w:val="24"/>
              </w:rPr>
              <w:t xml:space="preserve"> 2022, pp. 69-70.</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5504B"/>
    <w:rsid w:val="000D72F4"/>
    <w:rsid w:val="001C17CC"/>
    <w:rsid w:val="00261AB3"/>
    <w:rsid w:val="002977D7"/>
    <w:rsid w:val="00472AF4"/>
    <w:rsid w:val="00551AF8"/>
    <w:rsid w:val="005B5AFF"/>
    <w:rsid w:val="006162A4"/>
    <w:rsid w:val="006346F7"/>
    <w:rsid w:val="006D6EFB"/>
    <w:rsid w:val="007145BC"/>
    <w:rsid w:val="0086297F"/>
    <w:rsid w:val="008B104A"/>
    <w:rsid w:val="009E4922"/>
    <w:rsid w:val="00AB321D"/>
    <w:rsid w:val="00B165C4"/>
    <w:rsid w:val="00C21EE0"/>
    <w:rsid w:val="00D900AB"/>
    <w:rsid w:val="00D936E8"/>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277</Words>
  <Characters>1580</Characters>
  <Application>Microsoft Office Word</Application>
  <DocSecurity>0</DocSecurity>
  <Lines>13</Lines>
  <Paragraphs>3</Paragraphs>
  <ScaleCrop>false</ScaleCrop>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7</cp:revision>
  <dcterms:created xsi:type="dcterms:W3CDTF">2026-04-30T12:42:00Z</dcterms:created>
  <dcterms:modified xsi:type="dcterms:W3CDTF">2026-05-18T09:21:00Z</dcterms:modified>
</cp:coreProperties>
</file>