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2A4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32A4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2A4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32A4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32A4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32A4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2A4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2A4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2A4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F010FC3" w14:textId="77777777" w:rsidR="00403086" w:rsidRPr="00A32A4E" w:rsidRDefault="00E15A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A4E">
              <w:rPr>
                <w:rFonts w:ascii="Titillium Web" w:hAnsi="Titillium Web"/>
                <w:i/>
                <w:iCs/>
                <w:szCs w:val="24"/>
              </w:rPr>
              <w:t>Tomba 230 cremato.</w:t>
            </w:r>
          </w:p>
          <w:p w14:paraId="56C67D70" w14:textId="77777777" w:rsidR="00403086" w:rsidRPr="00A32A4E" w:rsidRDefault="00E15A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A4E">
              <w:rPr>
                <w:rFonts w:ascii="Titillium Web" w:hAnsi="Titillium Web"/>
                <w:i/>
                <w:iCs/>
                <w:szCs w:val="24"/>
              </w:rPr>
              <w:t>A 0,60 m. a pon. del precedente, a m. 1,05 di prof.tà giaceva un mucchietto di ossa combuste, nella nuda sabbia, e a contatto con le ossa:</w:t>
            </w:r>
          </w:p>
          <w:p w14:paraId="17C7041D" w14:textId="77777777" w:rsidR="00403086" w:rsidRPr="00A32A4E" w:rsidRDefault="00E15A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A4E">
              <w:rPr>
                <w:rFonts w:ascii="Titillium Web" w:hAnsi="Titillium Web"/>
                <w:i/>
                <w:iCs/>
                <w:szCs w:val="24"/>
              </w:rPr>
              <w:t>1 frammento di ferro di forma irriconoscibile tanto è sformato dall’ossidazione;</w:t>
            </w:r>
          </w:p>
          <w:p w14:paraId="48F57885" w14:textId="77777777" w:rsidR="00403086" w:rsidRPr="00A32A4E" w:rsidRDefault="00E15A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A4E">
              <w:rPr>
                <w:rFonts w:ascii="Titillium Web" w:hAnsi="Titillium Web"/>
                <w:i/>
                <w:iCs/>
                <w:szCs w:val="24"/>
              </w:rPr>
              <w:t>3 piccoli aryballos ovoidali, con nel ventre le solite 2 testine di fronte fra le quali è un oggetto piriforme - Le testine sono rosse e portano traccia del bianco con cui dovevano in antico essere dipinte. Uno solo di essi è intero; gli altri due sono frammentati e marciti - (alto 0,12)</w:t>
            </w:r>
          </w:p>
          <w:p w14:paraId="0C1D51B3" w14:textId="77777777" w:rsidR="00403086" w:rsidRPr="00A32A4E" w:rsidRDefault="00E15A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A4E">
              <w:rPr>
                <w:rFonts w:ascii="Titillium Web" w:hAnsi="Titillium Web"/>
                <w:i/>
                <w:iCs/>
                <w:szCs w:val="24"/>
              </w:rPr>
              <w:t>Null’altro –</w:t>
            </w:r>
          </w:p>
        </w:tc>
      </w:tr>
      <w:tr w:rsidR="0086297F" w:rsidRPr="00A32A4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A32A4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2A4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32A4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A32A4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2A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2A4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2A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A4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D3E929" w14:textId="77777777" w:rsidR="00403086" w:rsidRPr="00A32A4E" w:rsidRDefault="00E15AFC" w:rsidP="00A32A4E">
            <w:pPr>
              <w:jc w:val="center"/>
              <w:rPr>
                <w:rFonts w:ascii="Titillium Web" w:hAnsi="Titillium Web"/>
                <w:szCs w:val="24"/>
              </w:rPr>
            </w:pPr>
            <w:r w:rsidRPr="00A32A4E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32A4E">
              <w:rPr>
                <w:rFonts w:ascii="Titillium Web" w:eastAsia="Titillium" w:hAnsi="Titillium Web" w:cs="Titillium"/>
                <w:szCs w:val="24"/>
              </w:rPr>
              <w:t xml:space="preserve"> 1927, p. 150; </w:t>
            </w:r>
            <w:r w:rsidRPr="00A32A4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32A4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03086"/>
    <w:rsid w:val="00472AF4"/>
    <w:rsid w:val="00482111"/>
    <w:rsid w:val="00551AF8"/>
    <w:rsid w:val="005B5AFF"/>
    <w:rsid w:val="006162A4"/>
    <w:rsid w:val="006346F7"/>
    <w:rsid w:val="006D6EFB"/>
    <w:rsid w:val="007145BC"/>
    <w:rsid w:val="0086297F"/>
    <w:rsid w:val="009E4922"/>
    <w:rsid w:val="00A32A4E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2026-05-18T09:28:00Z</dcterms:modified>
</cp:coreProperties>
</file>